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0" w:type="auto"/>
        <w:tblLook w:val="0000" w:firstRow="0" w:lastRow="0" w:firstColumn="0" w:lastColumn="0" w:noHBand="0" w:noVBand="0"/>
      </w:tblPr>
      <w:tblGrid>
        <w:gridCol w:w="7857"/>
      </w:tblGrid>
      <w:tr w:rsidR="00E45119" w:rsidTr="00B97C8F">
        <w:tblPrEx>
          <w:tblCellMar>
            <w:top w:w="0" w:type="dxa"/>
            <w:bottom w:w="0" w:type="dxa"/>
          </w:tblCellMar>
        </w:tblPrEx>
        <w:tc>
          <w:tcPr>
            <w:tcW w:w="7857" w:type="dxa"/>
          </w:tcPr>
          <w:p w:rsidR="00E45119" w:rsidRPr="00624A42" w:rsidRDefault="00E45119" w:rsidP="00B97C8F">
            <w:pPr>
              <w:pStyle w:val="FileNumber0"/>
              <w:rPr>
                <w:rFonts w:hint="cs"/>
                <w:sz w:val="28"/>
                <w:u w:val="single"/>
                <w:rtl/>
              </w:rPr>
            </w:pPr>
            <w:r>
              <w:rPr>
                <w:u w:val="single"/>
                <w:rtl/>
              </w:rPr>
              <w:t>בבית המשפט העליון בשבתו כבית משפט לערעורים פליליים</w:t>
            </w:r>
          </w:p>
        </w:tc>
      </w:tr>
    </w:tbl>
    <w:p w:rsidR="00E45119" w:rsidRPr="00D13646" w:rsidRDefault="00E45119" w:rsidP="00E45119">
      <w:pPr>
        <w:jc w:val="right"/>
        <w:rPr>
          <w:rFonts w:cs="Miriam"/>
          <w:b/>
          <w:bCs/>
          <w:u w:val="single"/>
        </w:rPr>
      </w:pPr>
    </w:p>
    <w:tbl>
      <w:tblPr>
        <w:bidiVisual/>
        <w:tblW w:w="0" w:type="auto"/>
        <w:tblInd w:w="27" w:type="dxa"/>
        <w:tblLook w:val="0000" w:firstRow="0" w:lastRow="0" w:firstColumn="0" w:lastColumn="0" w:noHBand="0" w:noVBand="0"/>
      </w:tblPr>
      <w:tblGrid>
        <w:gridCol w:w="8285"/>
      </w:tblGrid>
      <w:tr w:rsidR="00E45119" w:rsidTr="00B97C8F">
        <w:tblPrEx>
          <w:tblCellMar>
            <w:top w:w="0" w:type="dxa"/>
            <w:bottom w:w="0" w:type="dxa"/>
          </w:tblCellMar>
        </w:tblPrEx>
        <w:trPr>
          <w:trHeight w:val="342"/>
        </w:trPr>
        <w:tc>
          <w:tcPr>
            <w:tcW w:w="9828" w:type="dxa"/>
          </w:tcPr>
          <w:p w:rsidR="00E45119" w:rsidRPr="00810894" w:rsidRDefault="00E45119" w:rsidP="00AD3E49">
            <w:pPr>
              <w:pStyle w:val="FileNumber"/>
              <w:spacing w:line="240" w:lineRule="auto"/>
              <w:rPr>
                <w:rFonts w:hint="cs"/>
                <w:sz w:val="28"/>
                <w:szCs w:val="28"/>
              </w:rPr>
            </w:pPr>
            <w:bookmarkStart w:id="0" w:name="casename_body"/>
            <w:r>
              <w:rPr>
                <w:sz w:val="28"/>
                <w:szCs w:val="28"/>
                <w:rtl/>
              </w:rPr>
              <w:t>ע"פ  7621/14</w:t>
            </w:r>
          </w:p>
        </w:tc>
      </w:tr>
      <w:tr w:rsidR="00E45119" w:rsidRPr="00E45119" w:rsidTr="00B97C8F">
        <w:tblPrEx>
          <w:tblCellMar>
            <w:top w:w="0" w:type="dxa"/>
            <w:bottom w:w="0" w:type="dxa"/>
          </w:tblCellMar>
        </w:tblPrEx>
        <w:trPr>
          <w:trHeight w:val="342"/>
        </w:trPr>
        <w:tc>
          <w:tcPr>
            <w:tcW w:w="9828" w:type="dxa"/>
          </w:tcPr>
          <w:p w:rsidR="00E45119" w:rsidRPr="00E45119" w:rsidRDefault="00E45119" w:rsidP="00AD3E49">
            <w:pPr>
              <w:pStyle w:val="FileNumber"/>
              <w:spacing w:line="240" w:lineRule="auto"/>
              <w:rPr>
                <w:rFonts w:hint="cs"/>
                <w:sz w:val="28"/>
                <w:szCs w:val="28"/>
                <w:highlight w:val="yellow"/>
              </w:rPr>
            </w:pPr>
            <w:r w:rsidRPr="00E45119">
              <w:rPr>
                <w:sz w:val="28"/>
                <w:szCs w:val="28"/>
                <w:highlight w:val="yellow"/>
                <w:rtl/>
              </w:rPr>
              <w:t>ע"פ  7647/14</w:t>
            </w:r>
          </w:p>
        </w:tc>
      </w:tr>
      <w:tr w:rsidR="00E45119" w:rsidTr="00B97C8F">
        <w:tblPrEx>
          <w:tblCellMar>
            <w:top w:w="0" w:type="dxa"/>
            <w:bottom w:w="0" w:type="dxa"/>
          </w:tblCellMar>
        </w:tblPrEx>
        <w:trPr>
          <w:trHeight w:val="342"/>
        </w:trPr>
        <w:tc>
          <w:tcPr>
            <w:tcW w:w="9828" w:type="dxa"/>
          </w:tcPr>
          <w:p w:rsidR="00E45119" w:rsidRDefault="00E45119" w:rsidP="00AD3E49">
            <w:pPr>
              <w:pStyle w:val="FileNumber"/>
              <w:spacing w:line="240" w:lineRule="auto"/>
              <w:rPr>
                <w:sz w:val="28"/>
                <w:szCs w:val="28"/>
                <w:rtl/>
              </w:rPr>
            </w:pPr>
            <w:r>
              <w:rPr>
                <w:sz w:val="28"/>
                <w:szCs w:val="28"/>
                <w:rtl/>
              </w:rPr>
              <w:t>ע"פ  7680/14</w:t>
            </w:r>
          </w:p>
        </w:tc>
      </w:tr>
      <w:tr w:rsidR="00E45119" w:rsidTr="00B97C8F">
        <w:tblPrEx>
          <w:tblCellMar>
            <w:top w:w="0" w:type="dxa"/>
            <w:bottom w:w="0" w:type="dxa"/>
          </w:tblCellMar>
        </w:tblPrEx>
        <w:trPr>
          <w:trHeight w:val="342"/>
        </w:trPr>
        <w:tc>
          <w:tcPr>
            <w:tcW w:w="9828" w:type="dxa"/>
          </w:tcPr>
          <w:p w:rsidR="00E45119" w:rsidRDefault="00E45119" w:rsidP="00AD3E49">
            <w:pPr>
              <w:pStyle w:val="FileNumber"/>
              <w:spacing w:line="240" w:lineRule="auto"/>
              <w:rPr>
                <w:sz w:val="28"/>
                <w:szCs w:val="28"/>
                <w:rtl/>
              </w:rPr>
            </w:pPr>
            <w:r>
              <w:rPr>
                <w:sz w:val="28"/>
                <w:szCs w:val="28"/>
                <w:rtl/>
              </w:rPr>
              <w:t>ע"פ  7777/14</w:t>
            </w:r>
          </w:p>
        </w:tc>
      </w:tr>
      <w:tr w:rsidR="00E45119" w:rsidRPr="00E45119" w:rsidTr="00B97C8F">
        <w:tblPrEx>
          <w:tblCellMar>
            <w:top w:w="0" w:type="dxa"/>
            <w:bottom w:w="0" w:type="dxa"/>
          </w:tblCellMar>
        </w:tblPrEx>
        <w:trPr>
          <w:trHeight w:val="342"/>
        </w:trPr>
        <w:tc>
          <w:tcPr>
            <w:tcW w:w="9828" w:type="dxa"/>
          </w:tcPr>
          <w:p w:rsidR="00E45119" w:rsidRPr="00E45119" w:rsidRDefault="00E45119" w:rsidP="00AD3E49">
            <w:pPr>
              <w:pStyle w:val="FileNumber"/>
              <w:spacing w:line="240" w:lineRule="auto"/>
              <w:rPr>
                <w:sz w:val="28"/>
                <w:szCs w:val="28"/>
                <w:highlight w:val="yellow"/>
                <w:rtl/>
              </w:rPr>
            </w:pPr>
            <w:r w:rsidRPr="00E45119">
              <w:rPr>
                <w:sz w:val="28"/>
                <w:szCs w:val="28"/>
                <w:highlight w:val="yellow"/>
                <w:rtl/>
              </w:rPr>
              <w:t>ע"פ  8495/14</w:t>
            </w:r>
          </w:p>
        </w:tc>
      </w:tr>
      <w:tr w:rsidR="00E45119" w:rsidTr="00B97C8F">
        <w:tblPrEx>
          <w:tblCellMar>
            <w:top w:w="0" w:type="dxa"/>
            <w:bottom w:w="0" w:type="dxa"/>
          </w:tblCellMar>
        </w:tblPrEx>
        <w:trPr>
          <w:trHeight w:val="342"/>
        </w:trPr>
        <w:tc>
          <w:tcPr>
            <w:tcW w:w="9828" w:type="dxa"/>
          </w:tcPr>
          <w:p w:rsidR="00E45119" w:rsidRDefault="00E45119" w:rsidP="00AD3E49">
            <w:pPr>
              <w:pStyle w:val="FileNumber"/>
              <w:spacing w:line="240" w:lineRule="auto"/>
              <w:rPr>
                <w:sz w:val="28"/>
                <w:szCs w:val="28"/>
                <w:rtl/>
              </w:rPr>
            </w:pPr>
            <w:r>
              <w:rPr>
                <w:sz w:val="28"/>
                <w:szCs w:val="28"/>
                <w:rtl/>
              </w:rPr>
              <w:t>ע"פ  80/15</w:t>
            </w:r>
          </w:p>
        </w:tc>
      </w:tr>
      <w:tr w:rsidR="00E45119" w:rsidTr="00B97C8F">
        <w:tblPrEx>
          <w:tblCellMar>
            <w:top w:w="0" w:type="dxa"/>
            <w:bottom w:w="0" w:type="dxa"/>
          </w:tblCellMar>
        </w:tblPrEx>
        <w:trPr>
          <w:trHeight w:val="342"/>
        </w:trPr>
        <w:tc>
          <w:tcPr>
            <w:tcW w:w="9828" w:type="dxa"/>
          </w:tcPr>
          <w:p w:rsidR="00E45119" w:rsidRDefault="00E45119" w:rsidP="00AD3E49">
            <w:pPr>
              <w:pStyle w:val="FileNumber"/>
              <w:spacing w:line="240" w:lineRule="auto"/>
              <w:rPr>
                <w:sz w:val="28"/>
                <w:szCs w:val="28"/>
                <w:rtl/>
              </w:rPr>
            </w:pPr>
            <w:r>
              <w:rPr>
                <w:sz w:val="28"/>
                <w:szCs w:val="28"/>
                <w:rtl/>
              </w:rPr>
              <w:t>ע"פ  572/15</w:t>
            </w:r>
          </w:p>
        </w:tc>
      </w:tr>
      <w:tr w:rsidR="00E45119" w:rsidTr="00B97C8F">
        <w:tblPrEx>
          <w:tblCellMar>
            <w:top w:w="0" w:type="dxa"/>
            <w:bottom w:w="0" w:type="dxa"/>
          </w:tblCellMar>
        </w:tblPrEx>
        <w:trPr>
          <w:trHeight w:val="342"/>
        </w:trPr>
        <w:tc>
          <w:tcPr>
            <w:tcW w:w="9828" w:type="dxa"/>
          </w:tcPr>
          <w:p w:rsidR="00E45119" w:rsidRDefault="00E45119" w:rsidP="00AD3E49">
            <w:pPr>
              <w:pStyle w:val="FileNumber"/>
              <w:spacing w:line="240" w:lineRule="auto"/>
              <w:rPr>
                <w:sz w:val="28"/>
                <w:szCs w:val="28"/>
                <w:rtl/>
              </w:rPr>
            </w:pPr>
            <w:r>
              <w:rPr>
                <w:sz w:val="28"/>
                <w:szCs w:val="28"/>
                <w:rtl/>
              </w:rPr>
              <w:t>ע"פ  590/15</w:t>
            </w:r>
          </w:p>
        </w:tc>
      </w:tr>
      <w:bookmarkEnd w:id="0"/>
    </w:tbl>
    <w:p w:rsidR="00E45119" w:rsidRDefault="00E45119" w:rsidP="00E45119">
      <w:pPr>
        <w:jc w:val="right"/>
        <w:rPr>
          <w:rFonts w:cs="Miriam"/>
          <w:b/>
          <w:bCs/>
          <w:u w:val="single"/>
        </w:rPr>
      </w:pPr>
    </w:p>
    <w:tbl>
      <w:tblPr>
        <w:bidiVisual/>
        <w:tblW w:w="0" w:type="auto"/>
        <w:tblLayout w:type="fixed"/>
        <w:tblLook w:val="0000" w:firstRow="0" w:lastRow="0" w:firstColumn="0" w:lastColumn="0" w:noHBand="0" w:noVBand="0"/>
      </w:tblPr>
      <w:tblGrid>
        <w:gridCol w:w="3284"/>
        <w:gridCol w:w="5238"/>
      </w:tblGrid>
      <w:tr w:rsidR="00E45119" w:rsidTr="00B97C8F">
        <w:tblPrEx>
          <w:tblCellMar>
            <w:top w:w="0" w:type="dxa"/>
            <w:bottom w:w="0" w:type="dxa"/>
          </w:tblCellMar>
        </w:tblPrEx>
        <w:trPr>
          <w:trHeight w:val="287"/>
        </w:trPr>
        <w:tc>
          <w:tcPr>
            <w:tcW w:w="3284" w:type="dxa"/>
          </w:tcPr>
          <w:p w:rsidR="00E45119" w:rsidRDefault="00E45119" w:rsidP="00B97C8F">
            <w:pPr>
              <w:pStyle w:val="BodyRuller"/>
              <w:rPr>
                <w:rFonts w:cs="Miriam"/>
                <w:b/>
                <w:bCs/>
                <w:u w:val="single"/>
              </w:rPr>
            </w:pPr>
            <w:r>
              <w:rPr>
                <w:rFonts w:hint="cs"/>
                <w:rtl/>
              </w:rPr>
              <w:t>ל</w:t>
            </w:r>
            <w:r>
              <w:rPr>
                <w:rtl/>
              </w:rPr>
              <w:t>פני:</w:t>
            </w:r>
            <w:r>
              <w:rPr>
                <w:rtl/>
              </w:rPr>
              <w:tab/>
            </w:r>
          </w:p>
        </w:tc>
        <w:tc>
          <w:tcPr>
            <w:tcW w:w="5238" w:type="dxa"/>
          </w:tcPr>
          <w:p w:rsidR="00E45119" w:rsidRDefault="00E45119" w:rsidP="00B97C8F">
            <w:pPr>
              <w:pStyle w:val="BodyRuller"/>
              <w:rPr>
                <w:rFonts w:hint="cs"/>
              </w:rPr>
            </w:pPr>
            <w:r>
              <w:rPr>
                <w:rtl/>
              </w:rPr>
              <w:t>כבוד השופט נ' הנדל</w:t>
            </w:r>
          </w:p>
        </w:tc>
      </w:tr>
      <w:tr w:rsidR="00E45119" w:rsidTr="00B97C8F">
        <w:tblPrEx>
          <w:tblCellMar>
            <w:top w:w="0" w:type="dxa"/>
            <w:bottom w:w="0" w:type="dxa"/>
          </w:tblCellMar>
        </w:tblPrEx>
        <w:trPr>
          <w:trHeight w:val="287"/>
        </w:trPr>
        <w:tc>
          <w:tcPr>
            <w:tcW w:w="3284" w:type="dxa"/>
          </w:tcPr>
          <w:p w:rsidR="00E45119" w:rsidRDefault="00E45119" w:rsidP="00B97C8F">
            <w:pPr>
              <w:pStyle w:val="BodyRuller"/>
              <w:rPr>
                <w:rFonts w:hint="cs"/>
                <w:rtl/>
              </w:rPr>
            </w:pPr>
          </w:p>
        </w:tc>
        <w:tc>
          <w:tcPr>
            <w:tcW w:w="5238" w:type="dxa"/>
          </w:tcPr>
          <w:p w:rsidR="00E45119" w:rsidRDefault="00E45119" w:rsidP="00B97C8F">
            <w:pPr>
              <w:pStyle w:val="BodyRuller"/>
              <w:rPr>
                <w:rtl/>
              </w:rPr>
            </w:pPr>
            <w:r>
              <w:rPr>
                <w:rtl/>
              </w:rPr>
              <w:t>כבוד השופט י' עמית</w:t>
            </w:r>
          </w:p>
        </w:tc>
      </w:tr>
      <w:tr w:rsidR="00E45119" w:rsidTr="00B97C8F">
        <w:tblPrEx>
          <w:tblCellMar>
            <w:top w:w="0" w:type="dxa"/>
            <w:bottom w:w="0" w:type="dxa"/>
          </w:tblCellMar>
        </w:tblPrEx>
        <w:trPr>
          <w:trHeight w:val="287"/>
        </w:trPr>
        <w:tc>
          <w:tcPr>
            <w:tcW w:w="3284" w:type="dxa"/>
          </w:tcPr>
          <w:p w:rsidR="00E45119" w:rsidRDefault="00E45119" w:rsidP="00B97C8F">
            <w:pPr>
              <w:pStyle w:val="BodyRuller"/>
              <w:rPr>
                <w:rFonts w:hint="cs"/>
                <w:rtl/>
              </w:rPr>
            </w:pPr>
          </w:p>
        </w:tc>
        <w:tc>
          <w:tcPr>
            <w:tcW w:w="5238" w:type="dxa"/>
          </w:tcPr>
          <w:p w:rsidR="00E45119" w:rsidRDefault="00E45119" w:rsidP="00B97C8F">
            <w:pPr>
              <w:pStyle w:val="BodyRuller"/>
              <w:rPr>
                <w:rtl/>
              </w:rPr>
            </w:pPr>
            <w:r>
              <w:rPr>
                <w:rtl/>
              </w:rPr>
              <w:t>כבוד השופטת ד' ברק-ארז</w:t>
            </w:r>
          </w:p>
        </w:tc>
      </w:tr>
    </w:tbl>
    <w:p w:rsidR="00E45119" w:rsidRDefault="00E45119" w:rsidP="00E45119">
      <w:pPr>
        <w:pStyle w:val="Ruller3"/>
        <w:rPr>
          <w:rFonts w:cs="Miriam"/>
          <w:b/>
          <w:bCs/>
          <w:u w:val="single"/>
          <w:rtl/>
        </w:rPr>
      </w:pPr>
    </w:p>
    <w:tbl>
      <w:tblPr>
        <w:bidiVisual/>
        <w:tblW w:w="0" w:type="auto"/>
        <w:tblLook w:val="0000" w:firstRow="0" w:lastRow="0" w:firstColumn="0" w:lastColumn="0" w:noHBand="0" w:noVBand="0"/>
      </w:tblPr>
      <w:tblGrid>
        <w:gridCol w:w="3214"/>
        <w:gridCol w:w="5098"/>
      </w:tblGrid>
      <w:tr w:rsidR="00E45119" w:rsidTr="00B97C8F">
        <w:tblPrEx>
          <w:tblCellMar>
            <w:top w:w="0" w:type="dxa"/>
            <w:bottom w:w="0" w:type="dxa"/>
          </w:tblCellMar>
        </w:tblPrEx>
        <w:tc>
          <w:tcPr>
            <w:tcW w:w="3284" w:type="dxa"/>
          </w:tcPr>
          <w:p w:rsidR="00E45119" w:rsidRDefault="00E45119" w:rsidP="00B97C8F">
            <w:pPr>
              <w:pStyle w:val="BodyRuller"/>
            </w:pPr>
            <w:r>
              <w:rPr>
                <w:rtl/>
              </w:rPr>
              <w:t>המערער</w:t>
            </w:r>
            <w:r>
              <w:rPr>
                <w:rFonts w:hint="cs"/>
                <w:rtl/>
              </w:rPr>
              <w:t xml:space="preserve"> בע"פ 7621/14 (המשיב בע"פ 7647/14)</w:t>
            </w:r>
            <w:r>
              <w:rPr>
                <w:rtl/>
              </w:rPr>
              <w:t>:</w:t>
            </w:r>
          </w:p>
        </w:tc>
        <w:tc>
          <w:tcPr>
            <w:tcW w:w="5238" w:type="dxa"/>
          </w:tcPr>
          <w:p w:rsidR="00E45119" w:rsidRDefault="00E45119" w:rsidP="00B97C8F">
            <w:pPr>
              <w:pStyle w:val="BodyRuller"/>
              <w:rPr>
                <w:rFonts w:hint="cs"/>
                <w:rtl/>
              </w:rPr>
            </w:pPr>
          </w:p>
          <w:p w:rsidR="00E45119" w:rsidRDefault="00E45119" w:rsidP="00B97C8F">
            <w:pPr>
              <w:pStyle w:val="BodyRuller"/>
            </w:pPr>
            <w:r>
              <w:rPr>
                <w:rtl/>
              </w:rPr>
              <w:t>אהרן גוטסדינר</w:t>
            </w:r>
          </w:p>
        </w:tc>
      </w:tr>
    </w:tbl>
    <w:p w:rsidR="00E45119" w:rsidRDefault="00E45119" w:rsidP="00E45119"/>
    <w:tbl>
      <w:tblPr>
        <w:bidiVisual/>
        <w:tblW w:w="0" w:type="auto"/>
        <w:tblLook w:val="0000" w:firstRow="0" w:lastRow="0" w:firstColumn="0" w:lastColumn="0" w:noHBand="0" w:noVBand="0"/>
      </w:tblPr>
      <w:tblGrid>
        <w:gridCol w:w="3216"/>
        <w:gridCol w:w="5096"/>
      </w:tblGrid>
      <w:tr w:rsidR="00E45119" w:rsidRPr="00E455D2" w:rsidTr="00B97C8F">
        <w:tblPrEx>
          <w:tblCellMar>
            <w:top w:w="0" w:type="dxa"/>
            <w:bottom w:w="0" w:type="dxa"/>
          </w:tblCellMar>
        </w:tblPrEx>
        <w:tc>
          <w:tcPr>
            <w:tcW w:w="3284" w:type="dxa"/>
          </w:tcPr>
          <w:p w:rsidR="00E45119" w:rsidRPr="00653E59" w:rsidRDefault="00E45119" w:rsidP="00B97C8F">
            <w:pPr>
              <w:pStyle w:val="BodyRuller"/>
              <w:rPr>
                <w:rtl/>
              </w:rPr>
            </w:pPr>
            <w:r w:rsidRPr="00653E59">
              <w:rPr>
                <w:rFonts w:hint="cs"/>
                <w:rtl/>
              </w:rPr>
              <w:t>המערער בע"פ 7680/14 (המשיב בע"פ 7647/14):</w:t>
            </w:r>
          </w:p>
        </w:tc>
        <w:tc>
          <w:tcPr>
            <w:tcW w:w="5238" w:type="dxa"/>
          </w:tcPr>
          <w:p w:rsidR="00E45119" w:rsidRPr="00653E59" w:rsidRDefault="00E45119" w:rsidP="00B97C8F">
            <w:pPr>
              <w:pStyle w:val="BodyRuller"/>
              <w:rPr>
                <w:rFonts w:hint="cs"/>
                <w:rtl/>
              </w:rPr>
            </w:pPr>
          </w:p>
          <w:p w:rsidR="00E45119" w:rsidRPr="00653E59" w:rsidRDefault="00E45119" w:rsidP="00B97C8F">
            <w:pPr>
              <w:pStyle w:val="BodyRuller"/>
              <w:rPr>
                <w:rFonts w:hint="cs"/>
                <w:rtl/>
              </w:rPr>
            </w:pPr>
            <w:r w:rsidRPr="00653E59">
              <w:rPr>
                <w:rFonts w:hint="cs"/>
                <w:rtl/>
              </w:rPr>
              <w:t>מאיר רואימי</w:t>
            </w:r>
          </w:p>
        </w:tc>
      </w:tr>
    </w:tbl>
    <w:p w:rsidR="00E45119" w:rsidRDefault="00E45119" w:rsidP="00E45119"/>
    <w:tbl>
      <w:tblPr>
        <w:bidiVisual/>
        <w:tblW w:w="0" w:type="auto"/>
        <w:tblLook w:val="0000" w:firstRow="0" w:lastRow="0" w:firstColumn="0" w:lastColumn="0" w:noHBand="0" w:noVBand="0"/>
      </w:tblPr>
      <w:tblGrid>
        <w:gridCol w:w="3217"/>
        <w:gridCol w:w="5095"/>
      </w:tblGrid>
      <w:tr w:rsidR="00E45119" w:rsidRPr="00E455D2" w:rsidTr="00B97C8F">
        <w:tblPrEx>
          <w:tblCellMar>
            <w:top w:w="0" w:type="dxa"/>
            <w:bottom w:w="0" w:type="dxa"/>
          </w:tblCellMar>
        </w:tblPrEx>
        <w:tc>
          <w:tcPr>
            <w:tcW w:w="3284" w:type="dxa"/>
          </w:tcPr>
          <w:p w:rsidR="00E45119" w:rsidRPr="00653E59" w:rsidRDefault="00E45119" w:rsidP="00B97C8F">
            <w:pPr>
              <w:pStyle w:val="BodyRuller"/>
              <w:rPr>
                <w:rFonts w:hint="cs"/>
                <w:rtl/>
              </w:rPr>
            </w:pPr>
            <w:r w:rsidRPr="00653E59">
              <w:rPr>
                <w:rFonts w:hint="cs"/>
                <w:rtl/>
              </w:rPr>
              <w:t>המערער בע"פ 7777/14 (המשיב בע"פ 7647/14):</w:t>
            </w:r>
          </w:p>
        </w:tc>
        <w:tc>
          <w:tcPr>
            <w:tcW w:w="5238" w:type="dxa"/>
          </w:tcPr>
          <w:p w:rsidR="00E45119" w:rsidRPr="00653E59" w:rsidRDefault="00E45119" w:rsidP="00B97C8F">
            <w:pPr>
              <w:pStyle w:val="BodyRuller"/>
              <w:rPr>
                <w:rFonts w:hint="cs"/>
                <w:rtl/>
              </w:rPr>
            </w:pPr>
          </w:p>
          <w:p w:rsidR="00E45119" w:rsidRPr="00653E59" w:rsidRDefault="00E45119" w:rsidP="00B97C8F">
            <w:pPr>
              <w:pStyle w:val="BodyRuller"/>
              <w:rPr>
                <w:rFonts w:hint="cs"/>
                <w:rtl/>
              </w:rPr>
            </w:pPr>
            <w:r w:rsidRPr="00653E59">
              <w:rPr>
                <w:rFonts w:hint="cs"/>
                <w:rtl/>
              </w:rPr>
              <w:t>יצחק אוחנה</w:t>
            </w:r>
          </w:p>
        </w:tc>
      </w:tr>
    </w:tbl>
    <w:p w:rsidR="00E45119" w:rsidRDefault="00E45119" w:rsidP="00E45119"/>
    <w:tbl>
      <w:tblPr>
        <w:bidiVisual/>
        <w:tblW w:w="0" w:type="auto"/>
        <w:tblLook w:val="0000" w:firstRow="0" w:lastRow="0" w:firstColumn="0" w:lastColumn="0" w:noHBand="0" w:noVBand="0"/>
      </w:tblPr>
      <w:tblGrid>
        <w:gridCol w:w="3217"/>
        <w:gridCol w:w="5095"/>
      </w:tblGrid>
      <w:tr w:rsidR="00E45119" w:rsidRPr="00E455D2" w:rsidTr="00B97C8F">
        <w:tblPrEx>
          <w:tblCellMar>
            <w:top w:w="0" w:type="dxa"/>
            <w:bottom w:w="0" w:type="dxa"/>
          </w:tblCellMar>
        </w:tblPrEx>
        <w:tc>
          <w:tcPr>
            <w:tcW w:w="3284" w:type="dxa"/>
          </w:tcPr>
          <w:p w:rsidR="00E45119" w:rsidRPr="00E45119" w:rsidRDefault="00E45119" w:rsidP="00B97C8F">
            <w:pPr>
              <w:pStyle w:val="BodyRuller"/>
              <w:rPr>
                <w:rFonts w:hint="cs"/>
                <w:highlight w:val="yellow"/>
                <w:rtl/>
              </w:rPr>
            </w:pPr>
            <w:r w:rsidRPr="00E45119">
              <w:rPr>
                <w:rFonts w:hint="cs"/>
                <w:highlight w:val="yellow"/>
                <w:rtl/>
              </w:rPr>
              <w:t>המערער בע"פ 8495/14 (המשיב בע"פ 7647/14):</w:t>
            </w:r>
          </w:p>
        </w:tc>
        <w:tc>
          <w:tcPr>
            <w:tcW w:w="5238" w:type="dxa"/>
          </w:tcPr>
          <w:p w:rsidR="00E45119" w:rsidRPr="00E45119" w:rsidRDefault="00E45119" w:rsidP="00B97C8F">
            <w:pPr>
              <w:pStyle w:val="BodyRuller"/>
              <w:rPr>
                <w:rFonts w:hint="cs"/>
                <w:highlight w:val="yellow"/>
                <w:rtl/>
              </w:rPr>
            </w:pPr>
          </w:p>
          <w:p w:rsidR="00E45119" w:rsidRPr="00653E59" w:rsidRDefault="00E45119" w:rsidP="00B97C8F">
            <w:pPr>
              <w:pStyle w:val="BodyRuller"/>
              <w:rPr>
                <w:rFonts w:hint="cs"/>
                <w:rtl/>
              </w:rPr>
            </w:pPr>
            <w:r w:rsidRPr="00E45119">
              <w:rPr>
                <w:rFonts w:hint="cs"/>
                <w:highlight w:val="yellow"/>
                <w:rtl/>
              </w:rPr>
              <w:t>מאיר רוזנטל</w:t>
            </w:r>
          </w:p>
        </w:tc>
      </w:tr>
    </w:tbl>
    <w:p w:rsidR="00E45119" w:rsidRDefault="00E45119" w:rsidP="00E45119"/>
    <w:tbl>
      <w:tblPr>
        <w:bidiVisual/>
        <w:tblW w:w="0" w:type="auto"/>
        <w:tblLook w:val="0000" w:firstRow="0" w:lastRow="0" w:firstColumn="0" w:lastColumn="0" w:noHBand="0" w:noVBand="0"/>
      </w:tblPr>
      <w:tblGrid>
        <w:gridCol w:w="3216"/>
        <w:gridCol w:w="5096"/>
      </w:tblGrid>
      <w:tr w:rsidR="00E45119" w:rsidRPr="00E455D2" w:rsidTr="00B97C8F">
        <w:tblPrEx>
          <w:tblCellMar>
            <w:top w:w="0" w:type="dxa"/>
            <w:bottom w:w="0" w:type="dxa"/>
          </w:tblCellMar>
        </w:tblPrEx>
        <w:tc>
          <w:tcPr>
            <w:tcW w:w="3284" w:type="dxa"/>
          </w:tcPr>
          <w:p w:rsidR="00E45119" w:rsidRPr="00653E59" w:rsidRDefault="00E45119" w:rsidP="00B97C8F">
            <w:pPr>
              <w:pStyle w:val="BodyRuller"/>
              <w:rPr>
                <w:rFonts w:hint="cs"/>
                <w:rtl/>
              </w:rPr>
            </w:pPr>
            <w:r w:rsidRPr="00653E59">
              <w:rPr>
                <w:rFonts w:hint="cs"/>
                <w:rtl/>
              </w:rPr>
              <w:t>המערער בע"פ 80/15 (המשיב בע"פ 572/15):</w:t>
            </w:r>
          </w:p>
        </w:tc>
        <w:tc>
          <w:tcPr>
            <w:tcW w:w="5238" w:type="dxa"/>
          </w:tcPr>
          <w:p w:rsidR="00E45119" w:rsidRPr="00653E59" w:rsidRDefault="00E45119" w:rsidP="00B97C8F">
            <w:pPr>
              <w:pStyle w:val="BodyRuller"/>
              <w:rPr>
                <w:rFonts w:hint="cs"/>
                <w:rtl/>
              </w:rPr>
            </w:pPr>
          </w:p>
          <w:p w:rsidR="00E45119" w:rsidRPr="00653E59" w:rsidRDefault="00E45119" w:rsidP="00B97C8F">
            <w:pPr>
              <w:pStyle w:val="BodyRuller"/>
              <w:rPr>
                <w:rFonts w:hint="cs"/>
                <w:rtl/>
              </w:rPr>
            </w:pPr>
            <w:r w:rsidRPr="00653E59">
              <w:rPr>
                <w:rFonts w:hint="cs"/>
                <w:rtl/>
              </w:rPr>
              <w:t>חיים בן חיים</w:t>
            </w:r>
          </w:p>
        </w:tc>
      </w:tr>
    </w:tbl>
    <w:p w:rsidR="00E45119" w:rsidRDefault="00E45119" w:rsidP="00E45119"/>
    <w:tbl>
      <w:tblPr>
        <w:bidiVisual/>
        <w:tblW w:w="0" w:type="auto"/>
        <w:tblLook w:val="0000" w:firstRow="0" w:lastRow="0" w:firstColumn="0" w:lastColumn="0" w:noHBand="0" w:noVBand="0"/>
      </w:tblPr>
      <w:tblGrid>
        <w:gridCol w:w="3211"/>
        <w:gridCol w:w="5101"/>
      </w:tblGrid>
      <w:tr w:rsidR="00E45119" w:rsidRPr="00E455D2" w:rsidTr="00B97C8F">
        <w:tblPrEx>
          <w:tblCellMar>
            <w:top w:w="0" w:type="dxa"/>
            <w:bottom w:w="0" w:type="dxa"/>
          </w:tblCellMar>
        </w:tblPrEx>
        <w:tc>
          <w:tcPr>
            <w:tcW w:w="3284" w:type="dxa"/>
          </w:tcPr>
          <w:p w:rsidR="00E45119" w:rsidRPr="00653E59" w:rsidRDefault="00E45119" w:rsidP="00B97C8F">
            <w:pPr>
              <w:pStyle w:val="BodyRuller"/>
              <w:rPr>
                <w:rFonts w:hint="cs"/>
                <w:rtl/>
              </w:rPr>
            </w:pPr>
          </w:p>
          <w:p w:rsidR="00E45119" w:rsidRPr="00653E59" w:rsidRDefault="00E45119" w:rsidP="00B97C8F">
            <w:pPr>
              <w:pStyle w:val="BodyRuller"/>
              <w:rPr>
                <w:rFonts w:hint="cs"/>
                <w:rtl/>
              </w:rPr>
            </w:pPr>
            <w:r w:rsidRPr="00653E59">
              <w:rPr>
                <w:rFonts w:hint="cs"/>
                <w:rtl/>
              </w:rPr>
              <w:t>המערער בע"פ 590/15:</w:t>
            </w:r>
          </w:p>
        </w:tc>
        <w:tc>
          <w:tcPr>
            <w:tcW w:w="5238" w:type="dxa"/>
          </w:tcPr>
          <w:p w:rsidR="00E45119" w:rsidRPr="00653E59" w:rsidRDefault="00E45119" w:rsidP="00B97C8F">
            <w:pPr>
              <w:pStyle w:val="BodyRuller"/>
              <w:rPr>
                <w:rFonts w:hint="cs"/>
                <w:rtl/>
              </w:rPr>
            </w:pPr>
          </w:p>
          <w:p w:rsidR="00E45119" w:rsidRPr="00653E59" w:rsidRDefault="00E45119" w:rsidP="00B97C8F">
            <w:pPr>
              <w:pStyle w:val="BodyRuller"/>
              <w:rPr>
                <w:rFonts w:hint="cs"/>
                <w:rtl/>
              </w:rPr>
            </w:pPr>
            <w:r w:rsidRPr="00653E59">
              <w:rPr>
                <w:rFonts w:hint="cs"/>
                <w:rtl/>
              </w:rPr>
              <w:t>שרון אפריאט</w:t>
            </w:r>
          </w:p>
        </w:tc>
      </w:tr>
    </w:tbl>
    <w:p w:rsidR="00E45119" w:rsidRDefault="00E45119" w:rsidP="00E45119">
      <w:pPr>
        <w:pStyle w:val="Ruller3"/>
      </w:pPr>
      <w:r>
        <w:tab/>
      </w:r>
    </w:p>
    <w:tbl>
      <w:tblPr>
        <w:bidiVisual/>
        <w:tblW w:w="0" w:type="auto"/>
        <w:tblLook w:val="0000" w:firstRow="0" w:lastRow="0" w:firstColumn="0" w:lastColumn="0" w:noHBand="0" w:noVBand="0"/>
      </w:tblPr>
      <w:tblGrid>
        <w:gridCol w:w="3202"/>
        <w:gridCol w:w="5110"/>
      </w:tblGrid>
      <w:tr w:rsidR="00E45119" w:rsidTr="00B97C8F">
        <w:tblPrEx>
          <w:tblCellMar>
            <w:top w:w="0" w:type="dxa"/>
            <w:bottom w:w="0" w:type="dxa"/>
          </w:tblCellMar>
        </w:tblPrEx>
        <w:tc>
          <w:tcPr>
            <w:tcW w:w="3284" w:type="dxa"/>
          </w:tcPr>
          <w:p w:rsidR="00E45119" w:rsidRDefault="00E45119" w:rsidP="00B97C8F">
            <w:pPr>
              <w:pStyle w:val="BodyRuller"/>
            </w:pPr>
          </w:p>
        </w:tc>
        <w:tc>
          <w:tcPr>
            <w:tcW w:w="5238" w:type="dxa"/>
          </w:tcPr>
          <w:p w:rsidR="00E45119" w:rsidRDefault="00E45119" w:rsidP="00B97C8F">
            <w:pPr>
              <w:pStyle w:val="BodyRuller"/>
            </w:pPr>
            <w:r>
              <w:rPr>
                <w:rFonts w:hint="cs"/>
                <w:rtl/>
              </w:rPr>
              <w:t>נ</w:t>
            </w:r>
            <w:r>
              <w:t xml:space="preserve">  </w:t>
            </w:r>
            <w:r>
              <w:rPr>
                <w:rFonts w:hint="cs"/>
                <w:rtl/>
              </w:rPr>
              <w:t>ג</w:t>
            </w:r>
            <w:r>
              <w:t xml:space="preserve">  </w:t>
            </w:r>
            <w:r>
              <w:rPr>
                <w:rFonts w:hint="cs"/>
                <w:rtl/>
              </w:rPr>
              <w:t>ד</w:t>
            </w:r>
          </w:p>
        </w:tc>
      </w:tr>
    </w:tbl>
    <w:p w:rsidR="00E45119" w:rsidRDefault="00E45119" w:rsidP="00E45119">
      <w:pPr>
        <w:pStyle w:val="Ruller3"/>
        <w:rPr>
          <w:rtl/>
        </w:rPr>
      </w:pPr>
      <w:r>
        <w:tab/>
        <w:t xml:space="preserve">     </w:t>
      </w:r>
    </w:p>
    <w:tbl>
      <w:tblPr>
        <w:bidiVisual/>
        <w:tblW w:w="0" w:type="auto"/>
        <w:tblLook w:val="0000" w:firstRow="0" w:lastRow="0" w:firstColumn="0" w:lastColumn="0" w:noHBand="0" w:noVBand="0"/>
      </w:tblPr>
      <w:tblGrid>
        <w:gridCol w:w="3218"/>
        <w:gridCol w:w="5094"/>
      </w:tblGrid>
      <w:tr w:rsidR="00E45119" w:rsidTr="00B97C8F">
        <w:tblPrEx>
          <w:tblCellMar>
            <w:top w:w="0" w:type="dxa"/>
            <w:bottom w:w="0" w:type="dxa"/>
          </w:tblCellMar>
        </w:tblPrEx>
        <w:tc>
          <w:tcPr>
            <w:tcW w:w="3284" w:type="dxa"/>
          </w:tcPr>
          <w:p w:rsidR="00E45119" w:rsidRDefault="00E45119" w:rsidP="00B97C8F">
            <w:pPr>
              <w:pStyle w:val="BodyRuller"/>
            </w:pPr>
            <w:r>
              <w:rPr>
                <w:rtl/>
              </w:rPr>
              <w:t>המשיב</w:t>
            </w:r>
            <w:r>
              <w:rPr>
                <w:rFonts w:hint="cs"/>
                <w:rtl/>
              </w:rPr>
              <w:t>ה</w:t>
            </w:r>
            <w:r w:rsidRPr="00E455D2">
              <w:rPr>
                <w:sz w:val="26"/>
                <w:szCs w:val="26"/>
                <w:rtl/>
              </w:rPr>
              <w:t xml:space="preserve"> </w:t>
            </w:r>
            <w:r w:rsidRPr="00653E59">
              <w:rPr>
                <w:rFonts w:hint="cs"/>
                <w:rtl/>
              </w:rPr>
              <w:t>(המערערת בע"פ 7647/14 וע"פ 572/15)</w:t>
            </w:r>
            <w:r w:rsidRPr="00653E59">
              <w:rPr>
                <w:rtl/>
              </w:rPr>
              <w:t>:</w:t>
            </w:r>
          </w:p>
        </w:tc>
        <w:tc>
          <w:tcPr>
            <w:tcW w:w="5238" w:type="dxa"/>
          </w:tcPr>
          <w:p w:rsidR="00E45119" w:rsidRDefault="00E45119" w:rsidP="00B97C8F">
            <w:pPr>
              <w:pStyle w:val="BodyRuller"/>
              <w:rPr>
                <w:rFonts w:hint="cs"/>
                <w:rtl/>
              </w:rPr>
            </w:pPr>
          </w:p>
          <w:p w:rsidR="00E45119" w:rsidRDefault="00E45119" w:rsidP="00B97C8F">
            <w:pPr>
              <w:pStyle w:val="BodyRuller"/>
            </w:pPr>
            <w:r>
              <w:rPr>
                <w:rtl/>
              </w:rPr>
              <w:t>מדינת ישראל</w:t>
            </w:r>
          </w:p>
        </w:tc>
      </w:tr>
    </w:tbl>
    <w:p w:rsidR="00E45119" w:rsidRDefault="00E45119" w:rsidP="00E45119">
      <w:pPr>
        <w:pStyle w:val="Ruller3"/>
        <w:rPr>
          <w:rFonts w:hint="cs"/>
        </w:rPr>
      </w:pPr>
      <w:r>
        <w:rPr>
          <w:rFonts w:hint="cs"/>
          <w:rtl/>
        </w:rPr>
        <w:tab/>
      </w:r>
    </w:p>
    <w:tbl>
      <w:tblPr>
        <w:bidiVisual/>
        <w:tblW w:w="0" w:type="auto"/>
        <w:tblInd w:w="3284" w:type="dxa"/>
        <w:tblLook w:val="0000" w:firstRow="0" w:lastRow="0" w:firstColumn="0" w:lastColumn="0" w:noHBand="0" w:noVBand="0"/>
      </w:tblPr>
      <w:tblGrid>
        <w:gridCol w:w="5028"/>
      </w:tblGrid>
      <w:tr w:rsidR="00E45119" w:rsidTr="00B97C8F">
        <w:tblPrEx>
          <w:tblCellMar>
            <w:top w:w="0" w:type="dxa"/>
            <w:bottom w:w="0" w:type="dxa"/>
          </w:tblCellMar>
        </w:tblPrEx>
        <w:tc>
          <w:tcPr>
            <w:tcW w:w="5238" w:type="dxa"/>
          </w:tcPr>
          <w:p w:rsidR="00E45119" w:rsidRPr="00265F6E" w:rsidRDefault="00E45119" w:rsidP="00B97C8F">
            <w:pPr>
              <w:pStyle w:val="BodyRuller"/>
              <w:jc w:val="both"/>
              <w:rPr>
                <w:sz w:val="24"/>
                <w:szCs w:val="24"/>
              </w:rPr>
            </w:pPr>
            <w:r>
              <w:rPr>
                <w:sz w:val="24"/>
                <w:szCs w:val="24"/>
                <w:rtl/>
              </w:rPr>
              <w:t>ערעור</w:t>
            </w:r>
            <w:r>
              <w:rPr>
                <w:rFonts w:hint="cs"/>
                <w:sz w:val="24"/>
                <w:szCs w:val="24"/>
                <w:rtl/>
              </w:rPr>
              <w:t>ים</w:t>
            </w:r>
            <w:r>
              <w:rPr>
                <w:sz w:val="24"/>
                <w:szCs w:val="24"/>
                <w:rtl/>
              </w:rPr>
              <w:t xml:space="preserve"> על פסק דינו של בית המשפט המחוזי </w:t>
            </w:r>
            <w:r>
              <w:rPr>
                <w:rFonts w:hint="cs"/>
                <w:sz w:val="24"/>
                <w:szCs w:val="24"/>
                <w:rtl/>
              </w:rPr>
              <w:t>ב</w:t>
            </w:r>
            <w:r>
              <w:rPr>
                <w:sz w:val="24"/>
                <w:szCs w:val="24"/>
                <w:rtl/>
              </w:rPr>
              <w:t>ירושלים מיום 29.09.2014 בת</w:t>
            </w:r>
            <w:r>
              <w:rPr>
                <w:rFonts w:hint="cs"/>
                <w:sz w:val="24"/>
                <w:szCs w:val="24"/>
                <w:rtl/>
              </w:rPr>
              <w:t>"</w:t>
            </w:r>
            <w:r>
              <w:rPr>
                <w:sz w:val="24"/>
                <w:szCs w:val="24"/>
                <w:rtl/>
              </w:rPr>
              <w:t>פ</w:t>
            </w:r>
            <w:r>
              <w:rPr>
                <w:rFonts w:hint="cs"/>
                <w:sz w:val="24"/>
                <w:szCs w:val="24"/>
                <w:rtl/>
              </w:rPr>
              <w:t xml:space="preserve"> </w:t>
            </w:r>
            <w:r>
              <w:rPr>
                <w:sz w:val="24"/>
                <w:szCs w:val="24"/>
                <w:rtl/>
              </w:rPr>
              <w:t>260/08</w:t>
            </w:r>
            <w:r>
              <w:rPr>
                <w:rFonts w:hint="cs"/>
                <w:sz w:val="24"/>
                <w:szCs w:val="24"/>
                <w:rtl/>
              </w:rPr>
              <w:t xml:space="preserve"> שניתן על ידי כבוד השופט א' כהן</w:t>
            </w:r>
          </w:p>
        </w:tc>
      </w:tr>
    </w:tbl>
    <w:p w:rsidR="00E45119" w:rsidRDefault="00E45119" w:rsidP="00E45119">
      <w:pPr>
        <w:pStyle w:val="Ruller3"/>
        <w:rPr>
          <w:rFonts w:hint="cs"/>
          <w:rtl/>
        </w:rPr>
      </w:pPr>
      <w:r>
        <w:rPr>
          <w:rFonts w:hint="cs"/>
          <w:rtl/>
        </w:rPr>
        <w:tab/>
      </w:r>
    </w:p>
    <w:tbl>
      <w:tblPr>
        <w:bidiVisual/>
        <w:tblW w:w="84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7"/>
        <w:gridCol w:w="5238"/>
      </w:tblGrid>
      <w:tr w:rsidR="00E45119" w:rsidTr="00B97C8F">
        <w:tblPrEx>
          <w:tblCellMar>
            <w:top w:w="0" w:type="dxa"/>
            <w:bottom w:w="0" w:type="dxa"/>
          </w:tblCellMar>
        </w:tblPrEx>
        <w:tc>
          <w:tcPr>
            <w:tcW w:w="3257" w:type="dxa"/>
            <w:tcBorders>
              <w:top w:val="nil"/>
              <w:left w:val="nil"/>
              <w:bottom w:val="nil"/>
              <w:right w:val="nil"/>
            </w:tcBorders>
          </w:tcPr>
          <w:p w:rsidR="00E45119" w:rsidRDefault="00E45119" w:rsidP="00B97C8F">
            <w:pPr>
              <w:pStyle w:val="BodyRuller"/>
              <w:rPr>
                <w:rFonts w:hint="cs"/>
              </w:rPr>
            </w:pPr>
            <w:bookmarkStart w:id="1" w:name="_GoBack"/>
            <w:bookmarkEnd w:id="1"/>
            <w:r>
              <w:rPr>
                <w:rtl/>
              </w:rPr>
              <w:lastRenderedPageBreak/>
              <w:t>בשם המערער</w:t>
            </w:r>
            <w:r w:rsidRPr="00653E59">
              <w:rPr>
                <w:rFonts w:hint="cs"/>
                <w:rtl/>
              </w:rPr>
              <w:t xml:space="preserve"> בע"פ 7621 והמשיב בע"פ 7647/14</w:t>
            </w:r>
            <w:r w:rsidRPr="00653E59">
              <w:rPr>
                <w:rtl/>
              </w:rPr>
              <w:t>:</w:t>
            </w:r>
          </w:p>
        </w:tc>
        <w:tc>
          <w:tcPr>
            <w:tcW w:w="5238" w:type="dxa"/>
            <w:tcBorders>
              <w:top w:val="nil"/>
              <w:left w:val="nil"/>
              <w:bottom w:val="nil"/>
              <w:right w:val="nil"/>
            </w:tcBorders>
          </w:tcPr>
          <w:p w:rsidR="00E45119" w:rsidRDefault="00E45119" w:rsidP="00B97C8F">
            <w:pPr>
              <w:pStyle w:val="BodyRuller"/>
              <w:rPr>
                <w:rFonts w:hint="cs"/>
                <w:rtl/>
              </w:rPr>
            </w:pPr>
          </w:p>
          <w:p w:rsidR="00E45119" w:rsidRDefault="00E45119" w:rsidP="00B97C8F">
            <w:pPr>
              <w:pStyle w:val="BodyRuller"/>
            </w:pPr>
            <w:r>
              <w:rPr>
                <w:rtl/>
              </w:rPr>
              <w:t>עו"ד ליז</w:t>
            </w:r>
            <w:r>
              <w:rPr>
                <w:rFonts w:hint="cs"/>
                <w:rtl/>
              </w:rPr>
              <w:t>י</w:t>
            </w:r>
            <w:r>
              <w:rPr>
                <w:rtl/>
              </w:rPr>
              <w:t xml:space="preserve"> שובל</w:t>
            </w:r>
            <w:r>
              <w:rPr>
                <w:rFonts w:hint="cs"/>
                <w:rtl/>
              </w:rPr>
              <w:t>-בר</w:t>
            </w:r>
            <w:r>
              <w:rPr>
                <w:rtl/>
              </w:rPr>
              <w:t xml:space="preserve"> </w:t>
            </w:r>
          </w:p>
        </w:tc>
      </w:tr>
    </w:tbl>
    <w:p w:rsidR="00E45119" w:rsidRDefault="00E45119" w:rsidP="00E45119"/>
    <w:tbl>
      <w:tblPr>
        <w:bidiVisual/>
        <w:tblW w:w="84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7"/>
        <w:gridCol w:w="5238"/>
      </w:tblGrid>
      <w:tr w:rsidR="00E45119" w:rsidTr="00B97C8F">
        <w:tblPrEx>
          <w:tblCellMar>
            <w:top w:w="0" w:type="dxa"/>
            <w:bottom w:w="0" w:type="dxa"/>
          </w:tblCellMar>
        </w:tblPrEx>
        <w:tc>
          <w:tcPr>
            <w:tcW w:w="3257" w:type="dxa"/>
            <w:tcBorders>
              <w:top w:val="nil"/>
              <w:left w:val="nil"/>
              <w:bottom w:val="nil"/>
              <w:right w:val="nil"/>
            </w:tcBorders>
          </w:tcPr>
          <w:p w:rsidR="00E45119" w:rsidRDefault="00E45119" w:rsidP="00B97C8F">
            <w:pPr>
              <w:pStyle w:val="BodyRuller"/>
              <w:rPr>
                <w:rtl/>
              </w:rPr>
            </w:pPr>
            <w:r w:rsidRPr="00653E59">
              <w:rPr>
                <w:rFonts w:hint="cs"/>
                <w:rtl/>
              </w:rPr>
              <w:t>בשם המערער בע"פ 7680/14 והמשיב בע"פ 7647/14:</w:t>
            </w:r>
          </w:p>
        </w:tc>
        <w:tc>
          <w:tcPr>
            <w:tcW w:w="5238" w:type="dxa"/>
            <w:tcBorders>
              <w:top w:val="nil"/>
              <w:left w:val="nil"/>
              <w:bottom w:val="nil"/>
              <w:right w:val="nil"/>
            </w:tcBorders>
          </w:tcPr>
          <w:p w:rsidR="00E45119" w:rsidRDefault="00E45119" w:rsidP="00B97C8F">
            <w:pPr>
              <w:pStyle w:val="BodyRuller"/>
              <w:rPr>
                <w:rFonts w:hint="cs"/>
                <w:rtl/>
              </w:rPr>
            </w:pPr>
          </w:p>
          <w:p w:rsidR="00E45119" w:rsidRDefault="00E45119" w:rsidP="00B97C8F">
            <w:pPr>
              <w:pStyle w:val="BodyRuller"/>
              <w:rPr>
                <w:rtl/>
              </w:rPr>
            </w:pPr>
            <w:r>
              <w:rPr>
                <w:rFonts w:hint="cs"/>
                <w:rtl/>
              </w:rPr>
              <w:t>עו"ד מיכאל עירוני</w:t>
            </w:r>
          </w:p>
        </w:tc>
      </w:tr>
    </w:tbl>
    <w:p w:rsidR="00E45119" w:rsidRDefault="00E45119" w:rsidP="00E45119"/>
    <w:tbl>
      <w:tblPr>
        <w:bidiVisual/>
        <w:tblW w:w="84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7"/>
        <w:gridCol w:w="5238"/>
      </w:tblGrid>
      <w:tr w:rsidR="00E45119" w:rsidTr="00B97C8F">
        <w:tblPrEx>
          <w:tblCellMar>
            <w:top w:w="0" w:type="dxa"/>
            <w:bottom w:w="0" w:type="dxa"/>
          </w:tblCellMar>
        </w:tblPrEx>
        <w:tc>
          <w:tcPr>
            <w:tcW w:w="3257" w:type="dxa"/>
            <w:tcBorders>
              <w:top w:val="nil"/>
              <w:left w:val="nil"/>
              <w:bottom w:val="nil"/>
              <w:right w:val="nil"/>
            </w:tcBorders>
          </w:tcPr>
          <w:p w:rsidR="00E45119" w:rsidRDefault="00E45119" w:rsidP="00B97C8F">
            <w:pPr>
              <w:pStyle w:val="BodyRuller"/>
              <w:rPr>
                <w:rtl/>
              </w:rPr>
            </w:pPr>
            <w:r w:rsidRPr="00653E59">
              <w:rPr>
                <w:rFonts w:hint="cs"/>
                <w:rtl/>
              </w:rPr>
              <w:t>בשם המערער בע"פ 7777/14 והמשיב בע"פ 7647/14:</w:t>
            </w:r>
          </w:p>
        </w:tc>
        <w:tc>
          <w:tcPr>
            <w:tcW w:w="5238" w:type="dxa"/>
            <w:tcBorders>
              <w:top w:val="nil"/>
              <w:left w:val="nil"/>
              <w:bottom w:val="nil"/>
              <w:right w:val="nil"/>
            </w:tcBorders>
          </w:tcPr>
          <w:p w:rsidR="00E45119" w:rsidRDefault="00E45119" w:rsidP="00B97C8F">
            <w:pPr>
              <w:pStyle w:val="BodyRuller"/>
              <w:rPr>
                <w:rFonts w:hint="cs"/>
                <w:rtl/>
              </w:rPr>
            </w:pPr>
          </w:p>
          <w:p w:rsidR="00E45119" w:rsidRDefault="00E45119" w:rsidP="00B97C8F">
            <w:pPr>
              <w:pStyle w:val="BodyRuller"/>
              <w:rPr>
                <w:rtl/>
              </w:rPr>
            </w:pPr>
            <w:r>
              <w:rPr>
                <w:rFonts w:hint="cs"/>
                <w:rtl/>
              </w:rPr>
              <w:t>עו"ד דבורה אטיה</w:t>
            </w:r>
          </w:p>
        </w:tc>
      </w:tr>
    </w:tbl>
    <w:p w:rsidR="00E45119" w:rsidRDefault="00E45119" w:rsidP="00E45119"/>
    <w:tbl>
      <w:tblPr>
        <w:bidiVisual/>
        <w:tblW w:w="84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7"/>
        <w:gridCol w:w="5238"/>
      </w:tblGrid>
      <w:tr w:rsidR="00E45119" w:rsidTr="00B97C8F">
        <w:tblPrEx>
          <w:tblCellMar>
            <w:top w:w="0" w:type="dxa"/>
            <w:bottom w:w="0" w:type="dxa"/>
          </w:tblCellMar>
        </w:tblPrEx>
        <w:tc>
          <w:tcPr>
            <w:tcW w:w="3257" w:type="dxa"/>
            <w:tcBorders>
              <w:top w:val="nil"/>
              <w:left w:val="nil"/>
              <w:bottom w:val="nil"/>
              <w:right w:val="nil"/>
            </w:tcBorders>
          </w:tcPr>
          <w:p w:rsidR="00E45119" w:rsidRPr="00E45119" w:rsidRDefault="00E45119" w:rsidP="00B97C8F">
            <w:pPr>
              <w:pStyle w:val="BodyRuller"/>
              <w:rPr>
                <w:highlight w:val="yellow"/>
                <w:rtl/>
              </w:rPr>
            </w:pPr>
            <w:r w:rsidRPr="00E45119">
              <w:rPr>
                <w:rFonts w:hint="cs"/>
                <w:highlight w:val="yellow"/>
                <w:rtl/>
              </w:rPr>
              <w:t>בשם המערער בע"פ 8495/14 והמשיב בע"פ 7647/14:</w:t>
            </w:r>
          </w:p>
        </w:tc>
        <w:tc>
          <w:tcPr>
            <w:tcW w:w="5238" w:type="dxa"/>
            <w:tcBorders>
              <w:top w:val="nil"/>
              <w:left w:val="nil"/>
              <w:bottom w:val="nil"/>
              <w:right w:val="nil"/>
            </w:tcBorders>
          </w:tcPr>
          <w:p w:rsidR="00E45119" w:rsidRPr="00E45119" w:rsidRDefault="00E45119" w:rsidP="00B97C8F">
            <w:pPr>
              <w:pStyle w:val="BodyRuller"/>
              <w:rPr>
                <w:rFonts w:hint="cs"/>
                <w:highlight w:val="yellow"/>
                <w:rtl/>
              </w:rPr>
            </w:pPr>
          </w:p>
          <w:p w:rsidR="00E45119" w:rsidRPr="00E45119" w:rsidRDefault="00E45119" w:rsidP="00B97C8F">
            <w:pPr>
              <w:pStyle w:val="BodyRuller"/>
              <w:rPr>
                <w:highlight w:val="yellow"/>
                <w:rtl/>
              </w:rPr>
            </w:pPr>
            <w:r w:rsidRPr="00E45119">
              <w:rPr>
                <w:rFonts w:hint="cs"/>
                <w:highlight w:val="yellow"/>
                <w:rtl/>
              </w:rPr>
              <w:t>עו"ד אירית באומהורן</w:t>
            </w:r>
          </w:p>
        </w:tc>
      </w:tr>
    </w:tbl>
    <w:p w:rsidR="00E45119" w:rsidRDefault="00E45119" w:rsidP="00E45119"/>
    <w:tbl>
      <w:tblPr>
        <w:bidiVisual/>
        <w:tblW w:w="84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7"/>
        <w:gridCol w:w="5238"/>
      </w:tblGrid>
      <w:tr w:rsidR="00E45119" w:rsidTr="00B97C8F">
        <w:tblPrEx>
          <w:tblCellMar>
            <w:top w:w="0" w:type="dxa"/>
            <w:bottom w:w="0" w:type="dxa"/>
          </w:tblCellMar>
        </w:tblPrEx>
        <w:tc>
          <w:tcPr>
            <w:tcW w:w="3257" w:type="dxa"/>
            <w:tcBorders>
              <w:top w:val="nil"/>
              <w:left w:val="nil"/>
              <w:bottom w:val="nil"/>
              <w:right w:val="nil"/>
            </w:tcBorders>
          </w:tcPr>
          <w:p w:rsidR="00E45119" w:rsidRDefault="00E45119" w:rsidP="00B97C8F">
            <w:pPr>
              <w:pStyle w:val="BodyRuller"/>
              <w:rPr>
                <w:rtl/>
              </w:rPr>
            </w:pPr>
            <w:r w:rsidRPr="00653E59">
              <w:rPr>
                <w:rFonts w:hint="cs"/>
                <w:rtl/>
              </w:rPr>
              <w:t>בשם המערער בע"פ 80/15 והמשיב בע"פ 572/15:</w:t>
            </w:r>
          </w:p>
        </w:tc>
        <w:tc>
          <w:tcPr>
            <w:tcW w:w="5238" w:type="dxa"/>
            <w:tcBorders>
              <w:top w:val="nil"/>
              <w:left w:val="nil"/>
              <w:bottom w:val="nil"/>
              <w:right w:val="nil"/>
            </w:tcBorders>
          </w:tcPr>
          <w:p w:rsidR="00E45119" w:rsidRDefault="00E45119" w:rsidP="00B97C8F">
            <w:pPr>
              <w:pStyle w:val="BodyRuller"/>
              <w:rPr>
                <w:rFonts w:hint="cs"/>
                <w:rtl/>
              </w:rPr>
            </w:pPr>
          </w:p>
          <w:p w:rsidR="00E45119" w:rsidRDefault="00E45119" w:rsidP="00B97C8F">
            <w:pPr>
              <w:pStyle w:val="BodyRuller"/>
              <w:rPr>
                <w:rtl/>
              </w:rPr>
            </w:pPr>
            <w:r>
              <w:rPr>
                <w:rFonts w:hint="cs"/>
                <w:rtl/>
              </w:rPr>
              <w:t>עו"ד מארון אבו נאסר; עו"ד יעקב עקאלה</w:t>
            </w:r>
          </w:p>
        </w:tc>
      </w:tr>
    </w:tbl>
    <w:p w:rsidR="00E45119" w:rsidRDefault="00E45119" w:rsidP="00E45119"/>
    <w:tbl>
      <w:tblPr>
        <w:bidiVisual/>
        <w:tblW w:w="84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7"/>
        <w:gridCol w:w="5238"/>
      </w:tblGrid>
      <w:tr w:rsidR="00E45119" w:rsidTr="00B97C8F">
        <w:tblPrEx>
          <w:tblCellMar>
            <w:top w:w="0" w:type="dxa"/>
            <w:bottom w:w="0" w:type="dxa"/>
          </w:tblCellMar>
        </w:tblPrEx>
        <w:tc>
          <w:tcPr>
            <w:tcW w:w="3257" w:type="dxa"/>
            <w:tcBorders>
              <w:top w:val="nil"/>
              <w:left w:val="nil"/>
              <w:bottom w:val="nil"/>
              <w:right w:val="nil"/>
            </w:tcBorders>
          </w:tcPr>
          <w:p w:rsidR="00E45119" w:rsidRDefault="00E45119" w:rsidP="00B97C8F">
            <w:pPr>
              <w:pStyle w:val="BodyRuller"/>
              <w:rPr>
                <w:rtl/>
              </w:rPr>
            </w:pPr>
            <w:r>
              <w:rPr>
                <w:rFonts w:hint="cs"/>
                <w:rtl/>
              </w:rPr>
              <w:t>בשם המערער בע"פ 590/15:</w:t>
            </w:r>
          </w:p>
        </w:tc>
        <w:tc>
          <w:tcPr>
            <w:tcW w:w="5238" w:type="dxa"/>
            <w:tcBorders>
              <w:top w:val="nil"/>
              <w:left w:val="nil"/>
              <w:bottom w:val="nil"/>
              <w:right w:val="nil"/>
            </w:tcBorders>
          </w:tcPr>
          <w:p w:rsidR="00E45119" w:rsidRDefault="00E45119" w:rsidP="00B97C8F">
            <w:pPr>
              <w:pStyle w:val="BodyRuller"/>
              <w:rPr>
                <w:rtl/>
              </w:rPr>
            </w:pPr>
            <w:r>
              <w:rPr>
                <w:rFonts w:hint="cs"/>
                <w:rtl/>
              </w:rPr>
              <w:t>עו"ד גיל עשת</w:t>
            </w:r>
          </w:p>
        </w:tc>
      </w:tr>
    </w:tbl>
    <w:p w:rsidR="00E45119" w:rsidRDefault="00E45119" w:rsidP="00E45119"/>
    <w:tbl>
      <w:tblPr>
        <w:bidiVisual/>
        <w:tblW w:w="849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7"/>
        <w:gridCol w:w="5238"/>
      </w:tblGrid>
      <w:tr w:rsidR="00E45119" w:rsidTr="00B97C8F">
        <w:tblPrEx>
          <w:tblCellMar>
            <w:top w:w="0" w:type="dxa"/>
            <w:bottom w:w="0" w:type="dxa"/>
          </w:tblCellMar>
        </w:tblPrEx>
        <w:tc>
          <w:tcPr>
            <w:tcW w:w="3257" w:type="dxa"/>
            <w:tcBorders>
              <w:top w:val="nil"/>
              <w:left w:val="nil"/>
              <w:bottom w:val="nil"/>
              <w:right w:val="nil"/>
            </w:tcBorders>
          </w:tcPr>
          <w:p w:rsidR="00E45119" w:rsidRDefault="00E45119" w:rsidP="00B97C8F">
            <w:pPr>
              <w:pStyle w:val="BodyRuller"/>
              <w:rPr>
                <w:rFonts w:hint="cs"/>
                <w:rtl/>
              </w:rPr>
            </w:pPr>
            <w:r w:rsidRPr="00653E59">
              <w:rPr>
                <w:rtl/>
              </w:rPr>
              <w:t>בשם המשיבה</w:t>
            </w:r>
            <w:r w:rsidRPr="00653E59">
              <w:rPr>
                <w:rFonts w:hint="cs"/>
                <w:rtl/>
              </w:rPr>
              <w:t xml:space="preserve"> (המערערת בע"פ 7647/14 וע"פ 572/15)</w:t>
            </w:r>
            <w:r w:rsidRPr="00653E59">
              <w:rPr>
                <w:rtl/>
              </w:rPr>
              <w:t>:</w:t>
            </w:r>
          </w:p>
        </w:tc>
        <w:tc>
          <w:tcPr>
            <w:tcW w:w="5238" w:type="dxa"/>
            <w:tcBorders>
              <w:top w:val="nil"/>
              <w:left w:val="nil"/>
              <w:bottom w:val="nil"/>
              <w:right w:val="nil"/>
            </w:tcBorders>
          </w:tcPr>
          <w:p w:rsidR="00E45119" w:rsidRDefault="00E45119" w:rsidP="00B97C8F">
            <w:pPr>
              <w:pStyle w:val="BodyRuller"/>
              <w:rPr>
                <w:rFonts w:hint="cs"/>
                <w:sz w:val="26"/>
                <w:szCs w:val="26"/>
                <w:rtl/>
              </w:rPr>
            </w:pPr>
          </w:p>
          <w:p w:rsidR="00E45119" w:rsidRDefault="00E45119" w:rsidP="00B97C8F">
            <w:pPr>
              <w:pStyle w:val="BodyRuller"/>
              <w:rPr>
                <w:rFonts w:hint="cs"/>
                <w:rtl/>
              </w:rPr>
            </w:pPr>
            <w:r w:rsidRPr="00653E59">
              <w:rPr>
                <w:rFonts w:hint="cs"/>
                <w:rtl/>
              </w:rPr>
              <w:t xml:space="preserve">עו"ד דגנית כהן-ויליאמס, עו"ד סיגל בלום; </w:t>
            </w:r>
          </w:p>
          <w:p w:rsidR="00E45119" w:rsidRDefault="00E45119" w:rsidP="00B97C8F">
            <w:pPr>
              <w:pStyle w:val="BodyRuller"/>
              <w:rPr>
                <w:rFonts w:hint="cs"/>
                <w:rtl/>
              </w:rPr>
            </w:pPr>
            <w:r w:rsidRPr="00653E59">
              <w:rPr>
                <w:rFonts w:hint="cs"/>
                <w:rtl/>
              </w:rPr>
              <w:t>עו"ד ארז פדן</w:t>
            </w:r>
          </w:p>
        </w:tc>
      </w:tr>
    </w:tbl>
    <w:p w:rsidR="00E45119" w:rsidRDefault="00E45119" w:rsidP="00E45119"/>
    <w:p w:rsidR="00E45119" w:rsidRPr="00E455D2" w:rsidRDefault="00E45119" w:rsidP="00E45119">
      <w:pPr>
        <w:tabs>
          <w:tab w:val="left" w:pos="2552"/>
        </w:tabs>
        <w:spacing w:line="360" w:lineRule="auto"/>
        <w:rPr>
          <w:rFonts w:hint="cs"/>
          <w:sz w:val="26"/>
          <w:szCs w:val="26"/>
          <w:rtl/>
        </w:rPr>
      </w:pPr>
    </w:p>
    <w:p w:rsidR="00E45119" w:rsidRDefault="00E45119" w:rsidP="00E45119">
      <w:pPr>
        <w:tabs>
          <w:tab w:val="left" w:pos="2552"/>
        </w:tabs>
      </w:pPr>
    </w:p>
    <w:tbl>
      <w:tblPr>
        <w:bidiVisual/>
        <w:tblW w:w="0" w:type="auto"/>
        <w:tblLook w:val="0000" w:firstRow="0" w:lastRow="0" w:firstColumn="0" w:lastColumn="0" w:noHBand="0" w:noVBand="0"/>
      </w:tblPr>
      <w:tblGrid>
        <w:gridCol w:w="8312"/>
      </w:tblGrid>
      <w:tr w:rsidR="00E45119" w:rsidTr="00B97C8F">
        <w:tblPrEx>
          <w:tblCellMar>
            <w:top w:w="0" w:type="dxa"/>
            <w:bottom w:w="0" w:type="dxa"/>
          </w:tblCellMar>
        </w:tblPrEx>
        <w:tc>
          <w:tcPr>
            <w:tcW w:w="9837" w:type="dxa"/>
          </w:tcPr>
          <w:p w:rsidR="00E45119" w:rsidRDefault="00E45119" w:rsidP="00B97C8F">
            <w:pPr>
              <w:pStyle w:val="DocumentHead"/>
              <w:rPr>
                <w:rFonts w:hint="cs"/>
              </w:rPr>
            </w:pPr>
            <w:bookmarkStart w:id="2" w:name="secretary"/>
            <w:bookmarkStart w:id="3" w:name="BeginProtocol"/>
            <w:bookmarkEnd w:id="2"/>
            <w:bookmarkEnd w:id="3"/>
            <w:r>
              <w:rPr>
                <w:rtl/>
              </w:rPr>
              <w:t>פסק-דין</w:t>
            </w:r>
          </w:p>
        </w:tc>
      </w:tr>
    </w:tbl>
    <w:p w:rsidR="00E45119" w:rsidRDefault="00E45119" w:rsidP="00E45119">
      <w:pPr>
        <w:pStyle w:val="BODYVERDICT"/>
        <w:rPr>
          <w:rFonts w:hint="cs"/>
        </w:rPr>
      </w:pPr>
    </w:p>
    <w:p w:rsidR="00E45119" w:rsidRDefault="00E45119" w:rsidP="00E45119">
      <w:pPr>
        <w:pStyle w:val="Ruller4"/>
        <w:rPr>
          <w:rFonts w:hint="cs"/>
          <w:rtl/>
        </w:rPr>
      </w:pPr>
      <w:r>
        <w:rPr>
          <w:rFonts w:hint="cs"/>
          <w:rtl/>
        </w:rPr>
        <w:t>...</w:t>
      </w:r>
    </w:p>
    <w:p w:rsidR="00AD3E49" w:rsidRDefault="00AD3E49" w:rsidP="00E45119">
      <w:pPr>
        <w:pStyle w:val="Ruller4"/>
        <w:rPr>
          <w:rFonts w:ascii="Miriam" w:hAnsi="Miriam" w:cs="Miriam"/>
          <w:sz w:val="24"/>
          <w:szCs w:val="24"/>
          <w:u w:val="single"/>
          <w:rtl/>
        </w:rPr>
      </w:pPr>
      <w:bookmarkStart w:id="4" w:name="_Toc475546426"/>
      <w:bookmarkStart w:id="5" w:name="_Toc475972102"/>
    </w:p>
    <w:p w:rsidR="00E45119" w:rsidRPr="002834A0" w:rsidRDefault="002834A0" w:rsidP="00E45119">
      <w:pPr>
        <w:pStyle w:val="Ruller4"/>
        <w:rPr>
          <w:rFonts w:ascii="Miriam" w:hAnsi="Miriam" w:cs="Miriam"/>
          <w:sz w:val="24"/>
          <w:szCs w:val="24"/>
          <w:u w:val="single"/>
          <w:rtl/>
        </w:rPr>
      </w:pPr>
      <w:r w:rsidRPr="002834A0">
        <w:rPr>
          <w:rFonts w:ascii="Miriam" w:hAnsi="Miriam" w:cs="Miriam"/>
          <w:sz w:val="24"/>
          <w:szCs w:val="24"/>
          <w:u w:val="single"/>
          <w:rtl/>
        </w:rPr>
        <w:t>הערעורים על גזר הדין של רוזנטל</w:t>
      </w:r>
      <w:bookmarkEnd w:id="4"/>
      <w:bookmarkEnd w:id="5"/>
    </w:p>
    <w:p w:rsidR="002834A0" w:rsidRDefault="002834A0" w:rsidP="00E45119">
      <w:pPr>
        <w:pStyle w:val="Ruller4"/>
        <w:rPr>
          <w:rFonts w:asciiTheme="minorBidi" w:hAnsiTheme="minorBidi" w:cstheme="minorBidi"/>
          <w:u w:val="single"/>
          <w:rtl/>
        </w:rPr>
      </w:pPr>
    </w:p>
    <w:p w:rsidR="002834A0" w:rsidRPr="002834A0" w:rsidRDefault="002834A0" w:rsidP="00E45119">
      <w:pPr>
        <w:pStyle w:val="Ruller4"/>
        <w:rPr>
          <w:rFonts w:asciiTheme="minorBidi" w:hAnsiTheme="minorBidi" w:cstheme="minorBidi" w:hint="cs"/>
          <w:rtl/>
        </w:rPr>
      </w:pPr>
      <w:r w:rsidRPr="002834A0">
        <w:rPr>
          <w:rFonts w:asciiTheme="minorBidi" w:hAnsiTheme="minorBidi" w:cstheme="minorBidi" w:hint="cs"/>
          <w:rtl/>
        </w:rPr>
        <w:t>...</w:t>
      </w:r>
    </w:p>
    <w:p w:rsidR="002834A0" w:rsidRPr="002834A0" w:rsidRDefault="002834A0" w:rsidP="00E45119">
      <w:pPr>
        <w:pStyle w:val="Ruller4"/>
        <w:rPr>
          <w:rFonts w:asciiTheme="minorBidi" w:hAnsiTheme="minorBidi" w:cstheme="minorBidi"/>
          <w:u w:val="single"/>
          <w:rtl/>
        </w:rPr>
      </w:pPr>
    </w:p>
    <w:p w:rsidR="00E45119" w:rsidRDefault="00E45119" w:rsidP="00E45119">
      <w:pPr>
        <w:pStyle w:val="Ruller4"/>
        <w:rPr>
          <w:rFonts w:hint="cs"/>
          <w:rtl/>
        </w:rPr>
      </w:pPr>
      <w:r>
        <w:rPr>
          <w:rFonts w:hint="cs"/>
          <w:rtl/>
        </w:rPr>
        <w:t>62.</w:t>
      </w:r>
      <w:r>
        <w:rPr>
          <w:rFonts w:hint="cs"/>
          <w:rtl/>
        </w:rPr>
        <w:tab/>
      </w:r>
      <w:r w:rsidRPr="002834A0">
        <w:rPr>
          <w:rFonts w:hint="cs"/>
          <w:highlight w:val="yellow"/>
          <w:rtl/>
        </w:rPr>
        <w:t>על גזר הדין הוגש ערעור הן מצד המשיבה, והן מצדו של רוזנטל.</w:t>
      </w:r>
      <w:r>
        <w:rPr>
          <w:rFonts w:hint="cs"/>
          <w:rtl/>
        </w:rPr>
        <w:t xml:space="preserve"> </w:t>
      </w:r>
    </w:p>
    <w:p w:rsidR="00E45119" w:rsidRDefault="00E45119" w:rsidP="00E45119">
      <w:pPr>
        <w:pStyle w:val="Ruller4"/>
        <w:rPr>
          <w:rFonts w:hint="cs"/>
          <w:rtl/>
        </w:rPr>
      </w:pPr>
      <w:r>
        <w:rPr>
          <w:rFonts w:hint="cs"/>
          <w:rtl/>
        </w:rPr>
        <w:tab/>
      </w:r>
    </w:p>
    <w:p w:rsidR="00E45119" w:rsidRDefault="00E45119" w:rsidP="00E45119">
      <w:pPr>
        <w:pStyle w:val="Ruller4"/>
        <w:rPr>
          <w:rFonts w:hint="cs"/>
          <w:rtl/>
        </w:rPr>
      </w:pPr>
      <w:r>
        <w:rPr>
          <w:rFonts w:hint="cs"/>
          <w:rtl/>
        </w:rPr>
        <w:tab/>
        <w:t xml:space="preserve">המשיבה סבורה כי אף שעונש המאסר שהוטל על רוזנטל הוא משמעותי, אין הוא הולם את חומרת מעשיו של רוזנטל </w:t>
      </w:r>
      <w:r>
        <w:rPr>
          <w:rtl/>
        </w:rPr>
        <w:t>–</w:t>
      </w:r>
      <w:r>
        <w:rPr>
          <w:rFonts w:hint="cs"/>
          <w:rtl/>
        </w:rPr>
        <w:t xml:space="preserve"> המתבטאים במידת התחכום שבמרמה, היקפה והנזק האדיר שנגרם לקופת המדינה. בגזר הדין חילק בית משפט קמא את העבירות בהן הורשע רוזנטל לשבעה אירועים עברייניים: העבירות שבוצעו בכל מכללה סווגו כאירוע נפרד, ועבירות המס והלבנת ההון נספרו כאירוע עברייני נפרד נוסף. עיקר טענת המשיבה </w:t>
      </w:r>
      <w:r>
        <w:rPr>
          <w:rFonts w:hint="cs"/>
          <w:rtl/>
        </w:rPr>
        <w:lastRenderedPageBreak/>
        <w:t xml:space="preserve">היא כי בעונש המאסר הכולל שנגזר על רוזנטל, ערך בית משפט קמא, הלכה למעשה, חפיפה מלאה של העונשים בגין האירועים העבריינים השונים. עוד סבורה המשיבה כי עונש הקנס שהוטל על רוזנטל אינו הולם את חומרת מעשיו, והנזק העצום וחסר התקדים שנגרם לקופת המדינה, כמו גם את התועלת שהצמיחה לו פעילותו העבריינית. </w:t>
      </w:r>
    </w:p>
    <w:p w:rsidR="00E45119" w:rsidRDefault="00E45119" w:rsidP="00E45119">
      <w:pPr>
        <w:pStyle w:val="Ruller4"/>
        <w:rPr>
          <w:rFonts w:hint="cs"/>
          <w:rtl/>
        </w:rPr>
      </w:pPr>
    </w:p>
    <w:p w:rsidR="00E45119" w:rsidRDefault="00E45119" w:rsidP="00E45119">
      <w:pPr>
        <w:pStyle w:val="Ruller4"/>
        <w:rPr>
          <w:rFonts w:hint="cs"/>
          <w:rtl/>
        </w:rPr>
      </w:pPr>
      <w:r>
        <w:rPr>
          <w:rFonts w:hint="cs"/>
          <w:rtl/>
        </w:rPr>
        <w:tab/>
        <w:t xml:space="preserve">במסגרת ערעורו של רוזנטל, שבו והופיעו חלק מהטענות העובדתיות שזכו להתייחסות במסגרת הכרעת הדין </w:t>
      </w:r>
      <w:r>
        <w:rPr>
          <w:rtl/>
        </w:rPr>
        <w:t>–</w:t>
      </w:r>
      <w:r>
        <w:rPr>
          <w:rFonts w:hint="cs"/>
          <w:rtl/>
        </w:rPr>
        <w:t xml:space="preserve"> ובעיקר אלה שעניינן בניתוק הקשר הסיבתי והגנה מן הצדק בשל מעורבותם או ידיעתם של גורמי הרבנות וגופי הביטחון, כמו גם הטענה להפליה בהעמדה לדין. נטען כי "מדובר במקרה קיצוני בו הגנה מן הצדק אמורה לחול במלוא עוצמתה", וכי בגזר הדין לא ניתן לכך משקל מספק; כך גם, לא ניתן משקל מספק לשיטת רוזנטל, לעובדה שלא היה עובד ציבור בעת ביצוע העבירות; לראיות שהובאו בדבר תרומתו לחברה; וכן לפגיעה בתלויים בו כתוצאה מכניסתו למאסר. בצד זאת נטען כי בגזר הדין ניתן משקל עודף לנזק הכספי שנגרם לקופת המדינה </w:t>
      </w:r>
      <w:r>
        <w:rPr>
          <w:rtl/>
        </w:rPr>
        <w:t>–</w:t>
      </w:r>
      <w:r>
        <w:rPr>
          <w:rFonts w:hint="cs"/>
          <w:rtl/>
        </w:rPr>
        <w:t xml:space="preserve"> שכן אף לשיטת בית משפט קמא, ייתכן והלימודים היו מקנים הטבות שכר מופחתות, ומכל מקום סיפקו הכספים שהתקבלו בידי אנשי כוחות הביטחון סיפקו תמריץ להישאר במערכת. עוד נטען כי חלף עיקרון הגמול שנקבע כעיקרון המנחה בענישה, הוענק משקל משמעותי להרתעת הרבים. לבסוף, מבקש רוזנטל כי נפחית</w:t>
      </w:r>
      <w:r w:rsidRPr="000A6100">
        <w:rPr>
          <w:rFonts w:hint="cs"/>
          <w:rtl/>
        </w:rPr>
        <w:t xml:space="preserve"> </w:t>
      </w:r>
      <w:r>
        <w:rPr>
          <w:rFonts w:hint="cs"/>
          <w:rtl/>
        </w:rPr>
        <w:t>מגובה הקנס, וזאת על מנת ליתן לו "סיכוי להשתקם</w:t>
      </w:r>
      <w:r w:rsidRPr="006C1717">
        <w:rPr>
          <w:rFonts w:hint="cs"/>
          <w:rtl/>
        </w:rPr>
        <w:t xml:space="preserve"> </w:t>
      </w:r>
      <w:r>
        <w:rPr>
          <w:rFonts w:hint="cs"/>
          <w:rtl/>
        </w:rPr>
        <w:t>מבחינה כלכלית, משפחתית ואישית".</w:t>
      </w:r>
    </w:p>
    <w:p w:rsidR="00E45119" w:rsidRDefault="00E45119" w:rsidP="00E45119">
      <w:pPr>
        <w:pStyle w:val="Ruller4"/>
        <w:rPr>
          <w:rFonts w:hint="cs"/>
          <w:rtl/>
        </w:rPr>
      </w:pPr>
    </w:p>
    <w:p w:rsidR="00E45119" w:rsidRDefault="00E45119" w:rsidP="00E45119">
      <w:pPr>
        <w:pStyle w:val="Ruller4"/>
        <w:rPr>
          <w:rFonts w:hint="cs"/>
          <w:rtl/>
        </w:rPr>
      </w:pPr>
      <w:r>
        <w:rPr>
          <w:rFonts w:hint="cs"/>
          <w:rtl/>
        </w:rPr>
        <w:t>63.</w:t>
      </w:r>
      <w:r>
        <w:rPr>
          <w:rFonts w:hint="cs"/>
          <w:rtl/>
        </w:rPr>
        <w:tab/>
        <w:t xml:space="preserve">אקדים ואציין כי מצאתי להיעתר לערעור של רוזנטל באופן חלקי, כפי שיפורט להלן. </w:t>
      </w:r>
    </w:p>
    <w:p w:rsidR="00E45119" w:rsidRDefault="00E45119" w:rsidP="00E45119">
      <w:pPr>
        <w:pStyle w:val="Ruller4"/>
        <w:rPr>
          <w:rFonts w:hint="cs"/>
          <w:rtl/>
        </w:rPr>
      </w:pPr>
    </w:p>
    <w:p w:rsidR="00E45119" w:rsidRDefault="00E45119" w:rsidP="00E45119">
      <w:pPr>
        <w:pStyle w:val="Ruller4"/>
        <w:rPr>
          <w:rFonts w:hint="cs"/>
          <w:rtl/>
        </w:rPr>
      </w:pPr>
      <w:r>
        <w:rPr>
          <w:rFonts w:hint="cs"/>
          <w:rtl/>
        </w:rPr>
        <w:tab/>
        <w:t xml:space="preserve">אין ספק כי רוזנטל מילא תפקיד מרכזי בפרשת המרמה אדירת הממדים מושא תיק זה. בקרב קבוצת המורשעים בתיק דנא, היה הוא בבחינת "ראש לשועלים". את דרכו אמנם החל בין כותלי מכללת דרכי הוראה, ואולם עד מהרה זיהה את הקלות שבמרמה ואת פוטנציאל הרווח ממנה, ופנה לעשות לביתו. בשלב זה, היה רוזנטל עצמאי לחלוטין; הוא הפגין יוזמה, יצירתיות ותעוזה, שבהקשרים אלה אינם מוסיפים כבוד, ויכולים להיזקף לחובתו בלבד. כמויות המסמכים הכוזבים והמזויפים בהם היה לרוזנטל יד ורגל (והובילו להרשעתו במאות עבירות), וההיקף הבלתי נתפס של הכספים שהוצאו במרמה מהקופה הציבורית על בסיסם (למעלה ממאה מיליון ₪) </w:t>
      </w:r>
      <w:r>
        <w:rPr>
          <w:rtl/>
        </w:rPr>
        <w:t>–</w:t>
      </w:r>
      <w:r>
        <w:rPr>
          <w:rFonts w:hint="cs"/>
          <w:rtl/>
        </w:rPr>
        <w:t xml:space="preserve"> מהדהדים ומצדיקים ענישה מחמירה. </w:t>
      </w:r>
    </w:p>
    <w:p w:rsidR="00E45119" w:rsidRDefault="00E45119" w:rsidP="00E45119">
      <w:pPr>
        <w:pStyle w:val="Ruller4"/>
        <w:rPr>
          <w:rFonts w:hint="cs"/>
          <w:rtl/>
        </w:rPr>
      </w:pPr>
    </w:p>
    <w:p w:rsidR="00E45119" w:rsidRDefault="00E45119" w:rsidP="00E45119">
      <w:pPr>
        <w:pStyle w:val="Ruller4"/>
        <w:rPr>
          <w:rFonts w:hint="cs"/>
          <w:rtl/>
        </w:rPr>
      </w:pPr>
      <w:r>
        <w:rPr>
          <w:rFonts w:hint="cs"/>
          <w:rtl/>
        </w:rPr>
        <w:tab/>
        <w:t xml:space="preserve">יוער, כי אף שמצאתי כאמור כי יש לזכות את רוזנטל מעבירות הניסיון לקבלת דבר במרמה, מדובר בעניין כמעט טכני שאין בו כדי להשפיע ולו במעט על חומרת </w:t>
      </w:r>
      <w:r>
        <w:rPr>
          <w:rFonts w:hint="cs"/>
          <w:rtl/>
        </w:rPr>
        <w:lastRenderedPageBreak/>
        <w:t>המעשים. כפי שכבר צוין לעיל, פוטנציאל הנזק הנוסף שנמנע הודות לגילוי המרמה ממילא מגולם בעבירה המושלמת. מנגד, יש ליתן משקל מסוים, גם אם לא רב, לזיכויו של רוזנטל מחמת הספק מעבירות הזיוף בכל הנוגע לישיבת הגר"א.</w:t>
      </w:r>
    </w:p>
    <w:p w:rsidR="00E45119" w:rsidRDefault="00E45119" w:rsidP="00E45119">
      <w:pPr>
        <w:pStyle w:val="Ruller4"/>
        <w:rPr>
          <w:rFonts w:hint="cs"/>
          <w:rtl/>
        </w:rPr>
      </w:pPr>
    </w:p>
    <w:p w:rsidR="00E45119" w:rsidRDefault="00E45119" w:rsidP="00E45119">
      <w:pPr>
        <w:pStyle w:val="Ruller4"/>
        <w:rPr>
          <w:rFonts w:hint="cs"/>
          <w:rtl/>
        </w:rPr>
      </w:pPr>
      <w:r>
        <w:rPr>
          <w:rFonts w:hint="cs"/>
          <w:rtl/>
        </w:rPr>
        <w:tab/>
        <w:t xml:space="preserve">בצד זאת, </w:t>
      </w:r>
      <w:r w:rsidRPr="00AD3E49">
        <w:rPr>
          <w:rFonts w:hint="cs"/>
          <w:highlight w:val="yellow"/>
          <w:rtl/>
        </w:rPr>
        <w:t>הכרנו בטענת ההגנה מן הצדק בנסיבותיו המיוחדות של תיק זה</w:t>
      </w:r>
      <w:r>
        <w:rPr>
          <w:rFonts w:hint="cs"/>
          <w:rtl/>
        </w:rPr>
        <w:t xml:space="preserve">, שבמרכזן מעורבות עמוקה עד מאוד של הרשויות בחרישת הקרקע עליה צמחו העבירות. דומה כי מעורבות זו מוסיפה גוונים של חומרה, המבדילים את ענייננו מרבים מתיקי המרמה של הקופה הציבורית. ביטוי לקבלת הטענה מצאנו לתת בגזירת הדין, כל אחד מהמערערים בהתאם לחלקו ולנסיבותיו. אין לכחד כי בעניינו של רוזנטל, בהבדיל מיתר המערערים, טענת ההגנה מן הצדק אינה יכולה להתבטא במלוא עוזה; זאת בשים לב לכך שרוזנטל הפך את המרמה לשיטה ולעסק של ממש, ואין צורך לשוב על הדברים שפורטו בהרחבה לעיל. עם זאת, עדיין בעלת משקל היא. עוד מצאתי כי יש ליתן משקל לחלוף הזמן הרב </w:t>
      </w:r>
      <w:r>
        <w:rPr>
          <w:rtl/>
        </w:rPr>
        <w:t>–</w:t>
      </w:r>
      <w:r>
        <w:rPr>
          <w:rFonts w:hint="cs"/>
          <w:rtl/>
        </w:rPr>
        <w:t xml:space="preserve"> קרוב ל-15 שנים </w:t>
      </w:r>
      <w:r>
        <w:rPr>
          <w:rtl/>
        </w:rPr>
        <w:t>–</w:t>
      </w:r>
      <w:r>
        <w:rPr>
          <w:rFonts w:hint="cs"/>
          <w:rtl/>
        </w:rPr>
        <w:t xml:space="preserve"> מאז בוצעו העבירות (וזאת חרף המאמצים הרבים שנעשו על מנת להביא הטיפול בתיק לסיומו בזמן קצר ככל הניתן); אין להמעיט גם מהעדויות השונות שנשמעו בנוגע לתרומתו של רוזנטל לחלשים ולנזקקים. </w:t>
      </w:r>
    </w:p>
    <w:p w:rsidR="00E45119" w:rsidRDefault="00E45119" w:rsidP="00E45119">
      <w:pPr>
        <w:pStyle w:val="Ruller4"/>
        <w:rPr>
          <w:rFonts w:hint="cs"/>
          <w:rtl/>
        </w:rPr>
      </w:pPr>
    </w:p>
    <w:p w:rsidR="00E45119" w:rsidRDefault="00E45119" w:rsidP="00E45119">
      <w:pPr>
        <w:pStyle w:val="Ruller4"/>
        <w:rPr>
          <w:rFonts w:hint="cs"/>
          <w:rtl/>
        </w:rPr>
      </w:pPr>
      <w:r>
        <w:rPr>
          <w:rFonts w:hint="cs"/>
          <w:rtl/>
        </w:rPr>
        <w:tab/>
      </w:r>
      <w:r w:rsidRPr="00E45119">
        <w:rPr>
          <w:rFonts w:hint="cs"/>
          <w:highlight w:val="yellow"/>
          <w:rtl/>
        </w:rPr>
        <w:t>בשים לב לכל אלה, מצאתי כי נכון יהיה להפחית מעונש המאסר בפועל שהוטל על רוזנטל, כך שיעמוד על חמש שנים וששה חודשים.</w:t>
      </w:r>
      <w:r>
        <w:rPr>
          <w:rFonts w:hint="cs"/>
          <w:rtl/>
        </w:rPr>
        <w:t xml:space="preserve"> רכיב המאסר על תנאי יוותר על כנו, וכך גם הקנס שהוטל על רוזנטל. הגם שמדובר בסכום לא מבוטל, לא מצאתי כל הצדקה להפחית ממנו בהתחשב בסכומים שנטל רוזנטל לכיסו במסגרת הפרשה, וכן בסכום הבלתי נתפס שיצא מקופת המדינה במרמה כתוצאה ממעשיו. בנסיבות אלה אין מקום לטענתו של רוזנטל כי מצבו הכלכלי לא הובא בחשבון, ויש לקוות כי בזמן שחלף נערך רוזנטל לתשלום הקנס שהוטל עליו. מכל מקום, כפי שנקבע בגזר הדין, עליו לשלם את הקנס רק 90 ימים לאחר שישלים את ריצוי תקופת המאסר, בפריסה לתשלומים חודשיים בסך 5,000 ₪.</w:t>
      </w:r>
    </w:p>
    <w:p w:rsidR="00E45119" w:rsidRDefault="00E45119" w:rsidP="00E45119">
      <w:pPr>
        <w:pStyle w:val="Ruller4"/>
        <w:rPr>
          <w:rFonts w:hint="cs"/>
          <w:rtl/>
        </w:rPr>
      </w:pPr>
    </w:p>
    <w:p w:rsidR="00777676" w:rsidRDefault="00E45119">
      <w:pPr>
        <w:rPr>
          <w:rFonts w:hint="cs"/>
          <w:rtl/>
        </w:rPr>
      </w:pPr>
      <w:r>
        <w:rPr>
          <w:rFonts w:hint="cs"/>
          <w:rtl/>
        </w:rPr>
        <w:t>...</w:t>
      </w:r>
    </w:p>
    <w:p w:rsidR="00E45119" w:rsidRDefault="00E45119">
      <w:pPr>
        <w:rPr>
          <w:rtl/>
        </w:rPr>
      </w:pPr>
    </w:p>
    <w:p w:rsidR="00E45119" w:rsidRDefault="00E45119" w:rsidP="00E45119">
      <w:pPr>
        <w:pStyle w:val="9"/>
        <w:rPr>
          <w:rtl/>
        </w:rPr>
      </w:pPr>
      <w:r>
        <w:rPr>
          <w:rtl/>
        </w:rPr>
        <w:t xml:space="preserve">ניתן היום, </w:t>
      </w:r>
      <w:r>
        <w:rPr>
          <w:rFonts w:hint="eastAsia"/>
          <w:rtl/>
        </w:rPr>
        <w:t>‏</w:t>
      </w:r>
      <w:r>
        <w:rPr>
          <w:rFonts w:hint="cs"/>
          <w:rtl/>
        </w:rPr>
        <w:t>ג</w:t>
      </w:r>
      <w:r>
        <w:rPr>
          <w:rtl/>
        </w:rPr>
        <w:t>' באדר התשע"ז (</w:t>
      </w:r>
      <w:r>
        <w:rPr>
          <w:rFonts w:hint="eastAsia"/>
          <w:rtl/>
        </w:rPr>
        <w:t>‏</w:t>
      </w:r>
      <w:r>
        <w:rPr>
          <w:rFonts w:hint="cs"/>
          <w:rtl/>
        </w:rPr>
        <w:t>1.3</w:t>
      </w:r>
      <w:r>
        <w:rPr>
          <w:rtl/>
        </w:rPr>
        <w:t>.2017).</w:t>
      </w:r>
    </w:p>
    <w:p w:rsidR="00E45119" w:rsidRPr="006D1E83" w:rsidRDefault="00E45119" w:rsidP="00E45119">
      <w:pPr>
        <w:pStyle w:val="9"/>
        <w:rPr>
          <w:rFonts w:hint="cs"/>
          <w:rtl/>
        </w:rPr>
      </w:pPr>
    </w:p>
    <w:p w:rsidR="00E45119" w:rsidRDefault="00E45119" w:rsidP="00E45119">
      <w:pPr>
        <w:pStyle w:val="Ruller4"/>
        <w:rPr>
          <w:rFonts w:ascii="Century" w:hAnsi="Century" w:hint="cs"/>
          <w:rtl/>
        </w:rPr>
      </w:pPr>
    </w:p>
    <w:tbl>
      <w:tblPr>
        <w:bidiVisual/>
        <w:tblW w:w="0" w:type="auto"/>
        <w:tblLook w:val="04A0" w:firstRow="1" w:lastRow="0" w:firstColumn="1" w:lastColumn="0" w:noHBand="0" w:noVBand="1"/>
      </w:tblPr>
      <w:tblGrid>
        <w:gridCol w:w="2770"/>
        <w:gridCol w:w="2771"/>
        <w:gridCol w:w="2771"/>
      </w:tblGrid>
      <w:tr w:rsidR="00E45119" w:rsidRPr="00441D39" w:rsidTr="00B97C8F">
        <w:tc>
          <w:tcPr>
            <w:tcW w:w="2842" w:type="dxa"/>
            <w:shd w:val="clear" w:color="auto" w:fill="auto"/>
          </w:tcPr>
          <w:p w:rsidR="00E45119" w:rsidRPr="00441D39" w:rsidRDefault="00E45119" w:rsidP="00B97C8F">
            <w:pPr>
              <w:pStyle w:val="Ruller4"/>
              <w:rPr>
                <w:rFonts w:ascii="Century" w:hAnsi="Century"/>
                <w:rtl/>
              </w:rPr>
            </w:pPr>
            <w:r w:rsidRPr="00441D39">
              <w:rPr>
                <w:rFonts w:hint="cs"/>
                <w:sz w:val="28"/>
                <w:rtl/>
              </w:rPr>
              <w:t xml:space="preserve">   ש ו פ ט</w:t>
            </w:r>
          </w:p>
        </w:tc>
        <w:tc>
          <w:tcPr>
            <w:tcW w:w="2843" w:type="dxa"/>
            <w:shd w:val="clear" w:color="auto" w:fill="auto"/>
          </w:tcPr>
          <w:p w:rsidR="00E45119" w:rsidRPr="00441D39" w:rsidRDefault="00E45119" w:rsidP="00B97C8F">
            <w:pPr>
              <w:pStyle w:val="Ruller4"/>
              <w:jc w:val="center"/>
              <w:rPr>
                <w:rFonts w:ascii="Century" w:hAnsi="Century"/>
                <w:rtl/>
              </w:rPr>
            </w:pPr>
            <w:r w:rsidRPr="00441D39">
              <w:rPr>
                <w:rFonts w:hint="cs"/>
                <w:sz w:val="28"/>
                <w:rtl/>
              </w:rPr>
              <w:t>ש ו פ ט</w:t>
            </w:r>
          </w:p>
        </w:tc>
        <w:tc>
          <w:tcPr>
            <w:tcW w:w="2843" w:type="dxa"/>
            <w:shd w:val="clear" w:color="auto" w:fill="auto"/>
          </w:tcPr>
          <w:p w:rsidR="00E45119" w:rsidRPr="00441D39" w:rsidRDefault="00E45119" w:rsidP="00B97C8F">
            <w:pPr>
              <w:pStyle w:val="Ruller4"/>
              <w:jc w:val="right"/>
              <w:rPr>
                <w:rFonts w:ascii="Century" w:hAnsi="Century"/>
                <w:rtl/>
              </w:rPr>
            </w:pPr>
            <w:r w:rsidRPr="00441D39">
              <w:rPr>
                <w:rFonts w:hint="cs"/>
                <w:sz w:val="28"/>
                <w:rtl/>
              </w:rPr>
              <w:t xml:space="preserve">   ש ו פ ט</w:t>
            </w:r>
            <w:r w:rsidRPr="00441D39">
              <w:rPr>
                <w:rFonts w:ascii="Century" w:hAnsi="Century" w:hint="cs"/>
                <w:rtl/>
              </w:rPr>
              <w:t xml:space="preserve"> ת</w:t>
            </w:r>
          </w:p>
        </w:tc>
      </w:tr>
    </w:tbl>
    <w:p w:rsidR="00E45119" w:rsidRPr="00F26514" w:rsidRDefault="00E45119" w:rsidP="00E45119">
      <w:pPr>
        <w:pStyle w:val="Ruller4"/>
        <w:rPr>
          <w:rFonts w:ascii="Century" w:hAnsi="Century"/>
          <w:rtl/>
        </w:rPr>
      </w:pPr>
    </w:p>
    <w:p w:rsidR="00E45119" w:rsidRPr="00E45119" w:rsidRDefault="00E45119"/>
    <w:sectPr w:rsidR="00E45119" w:rsidRPr="00E45119" w:rsidSect="00AD3E49">
      <w:pgSz w:w="11906" w:h="16838"/>
      <w:pgMar w:top="1304" w:right="1797" w:bottom="1304"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TUR">
    <w:charset w:val="00"/>
    <w:family w:val="swiss"/>
    <w:pitch w:val="variable"/>
    <w:sig w:usb0="E0002A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19"/>
    <w:rsid w:val="00175A9F"/>
    <w:rsid w:val="002834A0"/>
    <w:rsid w:val="00AD3E49"/>
    <w:rsid w:val="00CB2DCE"/>
    <w:rsid w:val="00E45119"/>
    <w:rsid w:val="00F630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4C776-6EC9-4C6F-B9A6-12AFD49B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ler4">
    <w:name w:val="Ruller4"/>
    <w:basedOn w:val="Normal"/>
    <w:link w:val="Ruller40"/>
    <w:rsid w:val="00E45119"/>
    <w:pPr>
      <w:tabs>
        <w:tab w:val="left" w:pos="800"/>
      </w:tabs>
      <w:overflowPunct w:val="0"/>
      <w:autoSpaceDE w:val="0"/>
      <w:autoSpaceDN w:val="0"/>
      <w:adjustRightInd w:val="0"/>
      <w:spacing w:after="0" w:line="360" w:lineRule="auto"/>
      <w:jc w:val="both"/>
      <w:textAlignment w:val="baseline"/>
    </w:pPr>
    <w:rPr>
      <w:rFonts w:ascii="Arial TUR" w:eastAsia="Times New Roman" w:hAnsi="Arial TUR" w:cs="FrankRuehl"/>
      <w:spacing w:val="10"/>
      <w:szCs w:val="28"/>
    </w:rPr>
  </w:style>
  <w:style w:type="character" w:customStyle="1" w:styleId="Ruller40">
    <w:name w:val="Ruller4 תו"/>
    <w:link w:val="Ruller4"/>
    <w:locked/>
    <w:rsid w:val="00E45119"/>
    <w:rPr>
      <w:rFonts w:ascii="Arial TUR" w:eastAsia="Times New Roman" w:hAnsi="Arial TUR" w:cs="FrankRuehl"/>
      <w:spacing w:val="10"/>
      <w:szCs w:val="28"/>
    </w:rPr>
  </w:style>
  <w:style w:type="paragraph" w:customStyle="1" w:styleId="Ruller3">
    <w:name w:val="Ruller 3"/>
    <w:basedOn w:val="Normal"/>
    <w:rsid w:val="00E45119"/>
    <w:pPr>
      <w:tabs>
        <w:tab w:val="left" w:pos="3210"/>
        <w:tab w:val="left" w:pos="6753"/>
      </w:tabs>
      <w:overflowPunct w:val="0"/>
      <w:autoSpaceDE w:val="0"/>
      <w:autoSpaceDN w:val="0"/>
      <w:adjustRightInd w:val="0"/>
      <w:spacing w:after="0" w:line="360" w:lineRule="auto"/>
      <w:textAlignment w:val="baseline"/>
    </w:pPr>
    <w:rPr>
      <w:rFonts w:ascii="Times New Roman" w:eastAsia="Times New Roman" w:hAnsi="Times New Roman" w:cs="FrankRuehl"/>
      <w:spacing w:val="10"/>
      <w:szCs w:val="28"/>
    </w:rPr>
  </w:style>
  <w:style w:type="paragraph" w:customStyle="1" w:styleId="FileNumber">
    <w:name w:val="File Number"/>
    <w:basedOn w:val="Normal"/>
    <w:rsid w:val="00E45119"/>
    <w:pPr>
      <w:overflowPunct w:val="0"/>
      <w:autoSpaceDE w:val="0"/>
      <w:autoSpaceDN w:val="0"/>
      <w:adjustRightInd w:val="0"/>
      <w:spacing w:after="0" w:line="360" w:lineRule="auto"/>
      <w:jc w:val="right"/>
      <w:textAlignment w:val="baseline"/>
    </w:pPr>
    <w:rPr>
      <w:rFonts w:ascii="Times New Roman" w:eastAsia="Times New Roman" w:hAnsi="Times New Roman" w:cs="David"/>
      <w:bCs/>
      <w:sz w:val="20"/>
      <w:szCs w:val="24"/>
    </w:rPr>
  </w:style>
  <w:style w:type="paragraph" w:customStyle="1" w:styleId="DocumentHead">
    <w:name w:val="Document Head"/>
    <w:basedOn w:val="Normal"/>
    <w:rsid w:val="00E45119"/>
    <w:pPr>
      <w:overflowPunct w:val="0"/>
      <w:autoSpaceDE w:val="0"/>
      <w:autoSpaceDN w:val="0"/>
      <w:adjustRightInd w:val="0"/>
      <w:spacing w:after="0" w:line="360" w:lineRule="auto"/>
      <w:jc w:val="center"/>
      <w:textAlignment w:val="baseline"/>
    </w:pPr>
    <w:rPr>
      <w:rFonts w:ascii="Times New Roman" w:eastAsia="Times New Roman" w:hAnsi="Times New Roman" w:cs="David"/>
      <w:bCs/>
      <w:spacing w:val="30"/>
      <w:sz w:val="20"/>
      <w:szCs w:val="28"/>
      <w:u w:val="single"/>
    </w:rPr>
  </w:style>
  <w:style w:type="paragraph" w:customStyle="1" w:styleId="BodyRuller">
    <w:name w:val="Body Ruller"/>
    <w:basedOn w:val="Normal"/>
    <w:rsid w:val="00E45119"/>
    <w:pPr>
      <w:overflowPunct w:val="0"/>
      <w:autoSpaceDE w:val="0"/>
      <w:autoSpaceDN w:val="0"/>
      <w:adjustRightInd w:val="0"/>
      <w:spacing w:after="0" w:line="240" w:lineRule="auto"/>
      <w:textAlignment w:val="baseline"/>
    </w:pPr>
    <w:rPr>
      <w:rFonts w:ascii="Times New Roman" w:eastAsia="Times New Roman" w:hAnsi="Times New Roman" w:cs="David"/>
      <w:szCs w:val="28"/>
    </w:rPr>
  </w:style>
  <w:style w:type="paragraph" w:customStyle="1" w:styleId="FileNumber0">
    <w:name w:val="סגנון File Number + ימין"/>
    <w:basedOn w:val="FileNumber"/>
    <w:rsid w:val="00E45119"/>
    <w:pPr>
      <w:jc w:val="left"/>
    </w:pPr>
    <w:rPr>
      <w:szCs w:val="28"/>
    </w:rPr>
  </w:style>
  <w:style w:type="paragraph" w:customStyle="1" w:styleId="BODYVERDICT">
    <w:name w:val="BODY VERDICT"/>
    <w:basedOn w:val="Normal"/>
    <w:rsid w:val="00E45119"/>
    <w:pPr>
      <w:overflowPunct w:val="0"/>
      <w:autoSpaceDE w:val="0"/>
      <w:autoSpaceDN w:val="0"/>
      <w:adjustRightInd w:val="0"/>
      <w:spacing w:after="0" w:line="240" w:lineRule="auto"/>
      <w:textAlignment w:val="baseline"/>
    </w:pPr>
    <w:rPr>
      <w:rFonts w:ascii="Times New Roman" w:eastAsia="Times New Roman" w:hAnsi="Times New Roman" w:cs="FrankRuehl"/>
      <w:spacing w:val="10"/>
      <w:szCs w:val="28"/>
    </w:rPr>
  </w:style>
  <w:style w:type="paragraph" w:customStyle="1" w:styleId="9">
    <w:name w:val="סגנון9"/>
    <w:basedOn w:val="Normal"/>
    <w:link w:val="90"/>
    <w:autoRedefine/>
    <w:qFormat/>
    <w:rsid w:val="00E45119"/>
    <w:pPr>
      <w:tabs>
        <w:tab w:val="left" w:pos="720"/>
        <w:tab w:val="left" w:pos="800"/>
      </w:tabs>
      <w:overflowPunct w:val="0"/>
      <w:autoSpaceDE w:val="0"/>
      <w:autoSpaceDN w:val="0"/>
      <w:adjustRightInd w:val="0"/>
      <w:spacing w:after="0" w:line="360" w:lineRule="auto"/>
      <w:jc w:val="both"/>
    </w:pPr>
    <w:rPr>
      <w:rFonts w:ascii="Arial TUR" w:eastAsia="Times New Roman" w:hAnsi="Arial TUR" w:cs="FrankRuehl"/>
      <w:spacing w:val="10"/>
      <w:szCs w:val="28"/>
    </w:rPr>
  </w:style>
  <w:style w:type="character" w:customStyle="1" w:styleId="90">
    <w:name w:val="סגנון9 תו"/>
    <w:link w:val="9"/>
    <w:rsid w:val="00E45119"/>
    <w:rPr>
      <w:rFonts w:ascii="Arial TUR" w:eastAsia="Times New Roman" w:hAnsi="Arial TUR" w:cs="FrankRuehl"/>
      <w:spacing w:val="1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906</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אירית</dc:creator>
  <cp:keywords/>
  <dc:description/>
  <cp:lastModifiedBy>אירית</cp:lastModifiedBy>
  <cp:revision>2</cp:revision>
  <dcterms:created xsi:type="dcterms:W3CDTF">2017-07-02T12:33:00Z</dcterms:created>
  <dcterms:modified xsi:type="dcterms:W3CDTF">2017-07-02T13:56:00Z</dcterms:modified>
</cp:coreProperties>
</file>